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7ACAC">
      <w:pPr>
        <w:pStyle w:val="31"/>
        <w:shd w:val="clear" w:color="FFFFFF" w:fill="FFFFFF"/>
        <w:jc w:val="both"/>
        <w:rPr>
          <w:rFonts w:hint="eastAsia" w:hAnsi="Times New Roman" w:cs="Times New Roman"/>
          <w:sz w:val="21"/>
          <w:szCs w:val="21"/>
        </w:rPr>
      </w:pPr>
      <w:bookmarkStart w:id="0" w:name="_Toc18399"/>
      <w:bookmarkStart w:id="1" w:name="_Toc5386"/>
      <w:bookmarkStart w:id="2" w:name="_Toc28603"/>
      <w:bookmarkStart w:id="3" w:name="_Toc172820870"/>
      <w:bookmarkStart w:id="4" w:name="_Toc4121"/>
      <w:bookmarkStart w:id="5" w:name="_Toc16970"/>
      <w:bookmarkStart w:id="6" w:name="_Toc25162"/>
      <w:bookmarkStart w:id="7" w:name="_Toc25428"/>
      <w:bookmarkStart w:id="8" w:name="_Toc18022"/>
      <w:r>
        <w:rPr>
          <w:rFonts w:hint="eastAsia" w:hAnsi="Times New Roman" w:cs="Times New Roman"/>
          <w:sz w:val="21"/>
          <w:szCs w:val="21"/>
        </w:rPr>
        <w:t>ICS XX.XX</w:t>
      </w:r>
      <w:bookmarkEnd w:id="0"/>
      <w:bookmarkEnd w:id="1"/>
      <w:bookmarkEnd w:id="2"/>
      <w:bookmarkEnd w:id="3"/>
      <w:bookmarkEnd w:id="4"/>
      <w:bookmarkEnd w:id="5"/>
      <w:bookmarkEnd w:id="6"/>
      <w:bookmarkEnd w:id="7"/>
      <w:bookmarkEnd w:id="8"/>
    </w:p>
    <w:p w14:paraId="5BFF8A8E">
      <w:pPr>
        <w:pStyle w:val="30"/>
        <w:ind w:firstLine="0" w:firstLineChars="0"/>
        <w:rPr>
          <w:rFonts w:hint="eastAsia"/>
        </w:rPr>
      </w:pPr>
      <w:r>
        <w:rPr>
          <w:rFonts w:hint="eastAsia"/>
        </w:rPr>
        <w:t>XXX</w:t>
      </w:r>
    </w:p>
    <w:p w14:paraId="06D264E4">
      <w:pPr>
        <w:pStyle w:val="30"/>
        <w:ind w:firstLine="0" w:firstLineChars="0"/>
        <w:jc w:val="distribute"/>
        <w:rPr>
          <w:rFonts w:hint="eastAsia" w:ascii="黑体" w:hAnsi="黑体" w:eastAsia="黑体" w:cs="Times New Roman"/>
          <w:sz w:val="48"/>
          <w:szCs w:val="48"/>
        </w:rPr>
      </w:pPr>
      <w:r>
        <w:rPr>
          <w:rFonts w:hint="eastAsia" w:ascii="黑体" w:hAnsi="黑体" w:eastAsia="黑体" w:cs="Times New Roman"/>
          <w:sz w:val="48"/>
          <w:szCs w:val="48"/>
        </w:rPr>
        <w:t>团体标准</w:t>
      </w:r>
    </w:p>
    <w:p w14:paraId="745981D8">
      <w:pPr>
        <w:pStyle w:val="30"/>
        <w:wordWrap w:val="0"/>
        <w:ind w:firstLine="0" w:firstLineChars="0"/>
        <w:jc w:val="right"/>
        <w:outlineLvl w:val="9"/>
        <w:rPr>
          <w:rFonts w:hint="default" w:hAnsi="宋体" w:eastAsia="宋体"/>
          <w:color w:val="auto"/>
          <w:sz w:val="28"/>
          <w:szCs w:val="28"/>
          <w:lang w:val="en-US" w:eastAsia="zh-CN"/>
        </w:rPr>
      </w:pPr>
      <w:r>
        <w:rPr>
          <w:rFonts w:hint="eastAsia" w:ascii="Times New Roman"/>
          <w:color w:val="auto"/>
          <w:sz w:val="28"/>
          <w:szCs w:val="28"/>
        </w:rPr>
        <w:t>T/CAGHPER XXX—XXXX</w:t>
      </w:r>
    </w:p>
    <w:p w14:paraId="7B0E791D">
      <w:pPr>
        <w:pStyle w:val="30"/>
        <w:ind w:firstLine="0" w:firstLineChars="0"/>
        <w:jc w:val="right"/>
        <w:rPr>
          <w:rFonts w:ascii="Times New Roman"/>
          <w:szCs w:val="21"/>
        </w:rPr>
      </w:pPr>
    </w:p>
    <w:tbl>
      <w:tblPr>
        <w:tblStyle w:val="10"/>
        <w:tblW w:w="0" w:type="auto"/>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6C6FA230">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noWrap w:val="0"/>
            <w:vAlign w:val="top"/>
          </w:tcPr>
          <w:p w14:paraId="7A8ACBC0">
            <w:pPr>
              <w:pStyle w:val="30"/>
              <w:ind w:firstLine="0" w:firstLineChars="0"/>
              <w:rPr>
                <w:rFonts w:hint="eastAsia" w:ascii="黑体" w:hAnsi="黑体" w:eastAsia="黑体"/>
                <w:sz w:val="48"/>
                <w:szCs w:val="48"/>
              </w:rPr>
            </w:pPr>
          </w:p>
        </w:tc>
      </w:tr>
      <w:tr w14:paraId="245B9995">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noWrap w:val="0"/>
            <w:vAlign w:val="top"/>
          </w:tcPr>
          <w:p w14:paraId="5E1E015A">
            <w:pPr>
              <w:pStyle w:val="30"/>
              <w:ind w:firstLine="0" w:firstLineChars="0"/>
              <w:rPr>
                <w:rFonts w:hint="eastAsia" w:ascii="黑体" w:hAnsi="黑体" w:eastAsia="黑体"/>
                <w:sz w:val="48"/>
                <w:szCs w:val="48"/>
              </w:rPr>
            </w:pPr>
          </w:p>
        </w:tc>
      </w:tr>
    </w:tbl>
    <w:p w14:paraId="61EEF106">
      <w:pPr>
        <w:pStyle w:val="30"/>
        <w:ind w:firstLine="0" w:firstLineChars="0"/>
        <w:jc w:val="both"/>
        <w:rPr>
          <w:rFonts w:hint="eastAsia" w:hAnsi="宋体"/>
          <w:szCs w:val="21"/>
        </w:rPr>
      </w:pPr>
    </w:p>
    <w:p w14:paraId="75BB945F">
      <w:pPr>
        <w:pStyle w:val="30"/>
        <w:ind w:firstLine="0" w:firstLineChars="0"/>
        <w:jc w:val="center"/>
        <w:rPr>
          <w:rFonts w:hint="eastAsia" w:ascii="黑体" w:hAnsi="黑体" w:eastAsia="黑体" w:cs="Times New Roman"/>
          <w:color w:val="000000" w:themeColor="text1"/>
          <w:sz w:val="52"/>
          <w:szCs w:val="52"/>
          <w:lang w:val="en-US" w:eastAsia="zh-CN"/>
          <w14:textFill>
            <w14:solidFill>
              <w14:schemeClr w14:val="tx1"/>
            </w14:solidFill>
          </w14:textFill>
        </w:rPr>
      </w:pPr>
      <w:r>
        <w:rPr>
          <w:rFonts w:hint="eastAsia" w:ascii="黑体" w:hAnsi="黑体" w:eastAsia="黑体" w:cs="Times New Roman"/>
          <w:color w:val="000000" w:themeColor="text1"/>
          <w:sz w:val="52"/>
          <w:szCs w:val="52"/>
          <w:lang w:val="en-US" w:eastAsia="zh-CN"/>
          <w14:textFill>
            <w14:solidFill>
              <w14:schemeClr w14:val="tx1"/>
            </w14:solidFill>
          </w14:textFill>
        </w:rPr>
        <w:t>地面沉降</w:t>
      </w:r>
      <w:r>
        <w:rPr>
          <w:rFonts w:hint="eastAsia" w:ascii="黑体" w:hAnsi="黑体" w:eastAsia="黑体" w:cs="Times New Roman"/>
          <w:color w:val="000000" w:themeColor="text1"/>
          <w:sz w:val="52"/>
          <w:szCs w:val="52"/>
          <w14:textFill>
            <w14:solidFill>
              <w14:schemeClr w14:val="tx1"/>
            </w14:solidFill>
          </w14:textFill>
        </w:rPr>
        <w:t>静力水准</w:t>
      </w:r>
      <w:r>
        <w:rPr>
          <w:rFonts w:hint="eastAsia" w:ascii="黑体" w:hAnsi="黑体" w:eastAsia="黑体" w:cs="Times New Roman"/>
          <w:color w:val="000000" w:themeColor="text1"/>
          <w:sz w:val="52"/>
          <w:szCs w:val="52"/>
          <w:lang w:val="en-US" w:eastAsia="zh-CN"/>
          <w14:textFill>
            <w14:solidFill>
              <w14:schemeClr w14:val="tx1"/>
            </w14:solidFill>
          </w14:textFill>
        </w:rPr>
        <w:t>监测</w:t>
      </w:r>
      <w:r>
        <w:rPr>
          <w:rFonts w:hint="eastAsia" w:ascii="黑体" w:hAnsi="黑体" w:eastAsia="黑体" w:cs="Times New Roman"/>
          <w:color w:val="000000" w:themeColor="text1"/>
          <w:sz w:val="52"/>
          <w:szCs w:val="52"/>
          <w14:textFill>
            <w14:solidFill>
              <w14:schemeClr w14:val="tx1"/>
            </w14:solidFill>
          </w14:textFill>
        </w:rPr>
        <w:t>技术规范</w:t>
      </w:r>
    </w:p>
    <w:p w14:paraId="09178313">
      <w:pPr>
        <w:pStyle w:val="30"/>
        <w:ind w:firstLine="0" w:firstLineChars="0"/>
        <w:jc w:val="center"/>
        <w:rPr>
          <w:rFonts w:hint="eastAsia" w:ascii="Times New Roman"/>
          <w:sz w:val="28"/>
          <w:szCs w:val="28"/>
        </w:rPr>
      </w:pPr>
    </w:p>
    <w:p w14:paraId="6F67FA4A">
      <w:pPr>
        <w:pStyle w:val="30"/>
        <w:ind w:firstLine="0" w:firstLineChars="0"/>
        <w:jc w:val="center"/>
        <w:rPr>
          <w:rFonts w:hint="eastAsia" w:hAnsi="宋体"/>
          <w:szCs w:val="21"/>
        </w:rPr>
      </w:pPr>
      <w:r>
        <w:rPr>
          <w:rFonts w:hint="eastAsia" w:hAnsi="宋体"/>
          <w:szCs w:val="21"/>
        </w:rPr>
        <w:t>（</w:t>
      </w:r>
      <w:r>
        <w:rPr>
          <w:rFonts w:hint="eastAsia" w:hAnsi="宋体"/>
          <w:szCs w:val="21"/>
          <w:lang w:val="en-US" w:eastAsia="zh-CN"/>
        </w:rPr>
        <w:t>征求意见稿</w:t>
      </w:r>
      <w:r>
        <w:rPr>
          <w:rFonts w:hint="eastAsia" w:hAnsi="宋体"/>
          <w:szCs w:val="21"/>
        </w:rPr>
        <w:t>）</w:t>
      </w:r>
    </w:p>
    <w:p w14:paraId="5C539C48">
      <w:pPr>
        <w:pStyle w:val="30"/>
        <w:ind w:firstLine="0" w:firstLineChars="0"/>
        <w:jc w:val="center"/>
        <w:rPr>
          <w:rFonts w:hint="eastAsia" w:ascii="Times New Roman" w:eastAsia="黑体"/>
          <w:sz w:val="28"/>
          <w:szCs w:val="28"/>
        </w:rPr>
      </w:pPr>
    </w:p>
    <w:p w14:paraId="22B2E978">
      <w:pPr>
        <w:pStyle w:val="30"/>
        <w:ind w:firstLine="0" w:firstLineChars="0"/>
        <w:jc w:val="center"/>
        <w:rPr>
          <w:rFonts w:hint="eastAsia" w:ascii="Times New Roman" w:eastAsia="黑体"/>
          <w:sz w:val="28"/>
          <w:szCs w:val="28"/>
        </w:rPr>
      </w:pPr>
    </w:p>
    <w:p w14:paraId="64CE02AD">
      <w:pPr>
        <w:pStyle w:val="30"/>
        <w:ind w:firstLine="0" w:firstLineChars="0"/>
        <w:jc w:val="center"/>
        <w:rPr>
          <w:rFonts w:hint="eastAsia" w:ascii="Times New Roman" w:eastAsia="黑体"/>
          <w:sz w:val="28"/>
          <w:szCs w:val="28"/>
        </w:rPr>
      </w:pPr>
    </w:p>
    <w:p w14:paraId="4F5FD979">
      <w:pPr>
        <w:pStyle w:val="30"/>
        <w:ind w:firstLine="0" w:firstLineChars="0"/>
        <w:jc w:val="both"/>
        <w:rPr>
          <w:rFonts w:hint="eastAsia" w:ascii="Times New Roman" w:eastAsia="黑体"/>
          <w:sz w:val="28"/>
          <w:szCs w:val="28"/>
        </w:rPr>
      </w:pPr>
    </w:p>
    <w:p w14:paraId="3E2A51F2">
      <w:pPr>
        <w:pStyle w:val="30"/>
        <w:ind w:firstLine="0" w:firstLineChars="0"/>
        <w:jc w:val="both"/>
        <w:rPr>
          <w:rFonts w:hint="eastAsia" w:ascii="Times New Roman" w:eastAsia="黑体"/>
          <w:sz w:val="28"/>
          <w:szCs w:val="28"/>
        </w:rPr>
      </w:pPr>
    </w:p>
    <w:tbl>
      <w:tblPr>
        <w:tblStyle w:val="10"/>
        <w:tblW w:w="0" w:type="auto"/>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04A683F8">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PrEx>
        <w:tc>
          <w:tcPr>
            <w:tcW w:w="9571" w:type="dxa"/>
            <w:noWrap w:val="0"/>
            <w:vAlign w:val="top"/>
          </w:tcPr>
          <w:p w14:paraId="333F5595">
            <w:pPr>
              <w:pStyle w:val="30"/>
              <w:ind w:firstLine="0" w:firstLineChars="0"/>
              <w:rPr>
                <w:rFonts w:ascii="黑体" w:hAnsi="黑体" w:eastAsia="黑体"/>
                <w:sz w:val="28"/>
                <w:szCs w:val="28"/>
              </w:rPr>
            </w:pPr>
            <w:r>
              <w:rPr>
                <w:rFonts w:hint="eastAsia" w:ascii="黑体" w:hAnsi="黑体" w:eastAsia="黑体"/>
                <w:sz w:val="28"/>
                <w:szCs w:val="28"/>
              </w:rPr>
              <w:t xml:space="preserve">XXXX-XX-XX发布                        </w:t>
            </w:r>
            <w:r>
              <w:rPr>
                <w:rFonts w:hint="eastAsia" w:ascii="黑体" w:hAnsi="黑体" w:eastAsia="黑体"/>
                <w:sz w:val="28"/>
                <w:szCs w:val="28"/>
                <w:lang w:val="en-US" w:eastAsia="zh-CN"/>
              </w:rPr>
              <w:t xml:space="preserve">             </w:t>
            </w:r>
            <w:r>
              <w:rPr>
                <w:rFonts w:hint="eastAsia" w:ascii="黑体" w:hAnsi="黑体" w:eastAsia="黑体"/>
                <w:sz w:val="28"/>
                <w:szCs w:val="28"/>
              </w:rPr>
              <w:t xml:space="preserve"> XXXX-XX-XX实施</w:t>
            </w:r>
          </w:p>
        </w:tc>
      </w:tr>
    </w:tbl>
    <w:p w14:paraId="29B9F16B">
      <w:pPr>
        <w:pStyle w:val="30"/>
        <w:ind w:firstLine="560"/>
        <w:jc w:val="center"/>
        <w:rPr>
          <w:rFonts w:hint="eastAsia" w:ascii="Times New Roman" w:eastAsia="黑体"/>
          <w:sz w:val="28"/>
          <w:szCs w:val="28"/>
        </w:rPr>
      </w:pPr>
    </w:p>
    <w:p w14:paraId="0F0EA1A4">
      <w:pPr>
        <w:pStyle w:val="30"/>
        <w:ind w:firstLine="560"/>
        <w:jc w:val="center"/>
        <w:rPr>
          <w:rFonts w:hint="eastAsia" w:ascii="Times New Roman" w:eastAsia="黑体"/>
          <w:sz w:val="28"/>
          <w:szCs w:val="28"/>
        </w:rPr>
      </w:pPr>
      <w:r>
        <w:rPr>
          <w:rFonts w:hint="eastAsia" w:ascii="Times New Roman" w:hAnsi="Times New Roman" w:eastAsia="黑体" w:cs="Times New Roman"/>
          <w:sz w:val="28"/>
          <w:szCs w:val="28"/>
        </w:rPr>
        <w:t>中国地质灾害防治与生态修复协会  发布</w:t>
      </w:r>
    </w:p>
    <w:p w14:paraId="6D021EFA">
      <w:pPr>
        <w:pStyle w:val="31"/>
        <w:shd w:val="clear" w:color="FFFFFF" w:fill="FFFFFF"/>
        <w:rPr>
          <w:rFonts w:hint="eastAsia" w:hAnsi="黑体" w:cs="Times New Roman"/>
        </w:rPr>
        <w:sectPr>
          <w:headerReference r:id="rId5" w:type="first"/>
          <w:footerReference r:id="rId8" w:type="first"/>
          <w:headerReference r:id="rId3" w:type="default"/>
          <w:footerReference r:id="rId6" w:type="default"/>
          <w:headerReference r:id="rId4" w:type="even"/>
          <w:footerReference r:id="rId7" w:type="even"/>
          <w:footnotePr>
            <w:numFmt w:val="decimal"/>
          </w:footnotePr>
          <w:pgSz w:w="11905" w:h="16838"/>
          <w:pgMar w:top="567" w:right="1134" w:bottom="1134" w:left="1134" w:header="1417" w:footer="1134" w:gutter="0"/>
          <w:pgNumType w:fmt="upperRoman"/>
          <w:cols w:space="0" w:num="1"/>
          <w:rtlGutter w:val="0"/>
          <w:docGrid w:type="lines" w:linePitch="315" w:charSpace="0"/>
        </w:sectPr>
      </w:pPr>
      <w:bookmarkStart w:id="9" w:name="_Toc6615"/>
      <w:bookmarkStart w:id="10" w:name="_Toc28406"/>
    </w:p>
    <w:p w14:paraId="0828C149">
      <w:pPr>
        <w:pStyle w:val="31"/>
        <w:shd w:val="clear" w:color="FFFFFF" w:fill="FFFFFF"/>
        <w:outlineLvl w:val="9"/>
        <w:rPr>
          <w:rFonts w:hint="eastAsia" w:hAnsi="黑体" w:cs="Times New Roman"/>
        </w:rPr>
      </w:pPr>
      <w:bookmarkStart w:id="11" w:name="_Toc19038"/>
      <w:r>
        <w:rPr>
          <w:rFonts w:hint="eastAsia" w:hAnsi="黑体" w:cs="Times New Roman"/>
        </w:rPr>
        <w:t>目 次</w:t>
      </w:r>
      <w:bookmarkEnd w:id="9"/>
      <w:bookmarkEnd w:id="10"/>
      <w:bookmarkEnd w:id="11"/>
    </w:p>
    <w:sdt>
      <w:sdtPr>
        <w:rPr>
          <w:rFonts w:ascii="宋体" w:hAnsi="宋体" w:eastAsia="宋体" w:cstheme="minorBidi"/>
          <w:kern w:val="2"/>
          <w:sz w:val="21"/>
          <w:szCs w:val="24"/>
          <w:lang w:val="en-US" w:eastAsia="zh-CN" w:bidi="ar-SA"/>
        </w:rPr>
        <w:id w:val="147460074"/>
        <w15:color w:val="DBDBDB"/>
        <w:docPartObj>
          <w:docPartGallery w:val="Table of Contents"/>
          <w:docPartUnique/>
        </w:docPartObj>
      </w:sdtPr>
      <w:sdtEndPr>
        <w:rPr>
          <w:rFonts w:ascii="宋体" w:hAnsi="宋体" w:eastAsia="宋体" w:cstheme="minorBidi"/>
          <w:kern w:val="2"/>
          <w:sz w:val="21"/>
          <w:szCs w:val="24"/>
          <w:lang w:val="en-US" w:eastAsia="zh-CN" w:bidi="ar-SA"/>
        </w:rPr>
      </w:sdtEndPr>
      <w:sdtContent>
        <w:p w14:paraId="3DA3A825">
          <w:pPr>
            <w:spacing w:before="0" w:beforeLines="0" w:after="0" w:afterLines="0" w:line="240" w:lineRule="auto"/>
            <w:ind w:left="0" w:leftChars="0" w:right="0" w:rightChars="0" w:firstLine="0" w:firstLineChars="0"/>
            <w:jc w:val="left"/>
          </w:pPr>
          <w:r>
            <w:fldChar w:fldCharType="begin"/>
          </w:r>
          <w:r>
            <w:instrText xml:space="preserve">TOC \o "1-3" \h \u </w:instrText>
          </w:r>
          <w:r>
            <w:fldChar w:fldCharType="separate"/>
          </w:r>
        </w:p>
        <w:p w14:paraId="56B220FB">
          <w:pPr>
            <w:pStyle w:val="7"/>
            <w:tabs>
              <w:tab w:val="right" w:leader="dot" w:pos="9637"/>
            </w:tabs>
          </w:pPr>
          <w:r>
            <w:fldChar w:fldCharType="begin"/>
          </w:r>
          <w:r>
            <w:instrText xml:space="preserve"> HYPERLINK \l _Toc5772 </w:instrText>
          </w:r>
          <w:r>
            <w:fldChar w:fldCharType="separate"/>
          </w:r>
          <w:r>
            <w:rPr>
              <w:rFonts w:hint="eastAsia" w:hAnsi="Times New Roman" w:cs="Times New Roman"/>
            </w:rPr>
            <w:t>前  言</w:t>
          </w:r>
          <w:r>
            <w:tab/>
          </w:r>
          <w:r>
            <w:fldChar w:fldCharType="begin"/>
          </w:r>
          <w:r>
            <w:instrText xml:space="preserve"> PAGEREF _Toc5772 \h </w:instrText>
          </w:r>
          <w:r>
            <w:fldChar w:fldCharType="separate"/>
          </w:r>
          <w:r>
            <w:t>III</w:t>
          </w:r>
          <w:r>
            <w:fldChar w:fldCharType="end"/>
          </w:r>
          <w:r>
            <w:fldChar w:fldCharType="end"/>
          </w:r>
        </w:p>
        <w:p w14:paraId="11CE1A72">
          <w:pPr>
            <w:pStyle w:val="7"/>
            <w:tabs>
              <w:tab w:val="right" w:leader="dot" w:pos="9637"/>
            </w:tabs>
          </w:pPr>
          <w:r>
            <w:fldChar w:fldCharType="begin"/>
          </w:r>
          <w:r>
            <w:instrText xml:space="preserve"> HYPERLINK \l _Toc6143 </w:instrText>
          </w:r>
          <w:r>
            <w:fldChar w:fldCharType="separate"/>
          </w:r>
          <w:r>
            <w:rPr>
              <w:rFonts w:hint="eastAsia" w:hAnsi="Times New Roman" w:cs="Times New Roman"/>
            </w:rPr>
            <w:t>引  言</w:t>
          </w:r>
          <w:r>
            <w:tab/>
          </w:r>
          <w:r>
            <w:fldChar w:fldCharType="begin"/>
          </w:r>
          <w:r>
            <w:instrText xml:space="preserve"> PAGEREF _Toc6143 \h </w:instrText>
          </w:r>
          <w:r>
            <w:fldChar w:fldCharType="separate"/>
          </w:r>
          <w:r>
            <w:t>IV</w:t>
          </w:r>
          <w:r>
            <w:fldChar w:fldCharType="end"/>
          </w:r>
          <w:r>
            <w:fldChar w:fldCharType="end"/>
          </w:r>
        </w:p>
        <w:p w14:paraId="222CF0E3">
          <w:pPr>
            <w:pStyle w:val="8"/>
            <w:tabs>
              <w:tab w:val="right" w:leader="dot" w:pos="9637"/>
            </w:tabs>
          </w:pPr>
          <w:r>
            <w:fldChar w:fldCharType="begin"/>
          </w:r>
          <w:r>
            <w:instrText xml:space="preserve"> HYPERLINK \l _Toc27453 </w:instrText>
          </w:r>
          <w:r>
            <w:fldChar w:fldCharType="separate"/>
          </w:r>
          <w:r>
            <w:rPr>
              <w:rFonts w:hint="default" w:ascii="黑体" w:hAnsi="Times New Roman" w:eastAsia="黑体" w:cs="Times New Roman"/>
              <w:bCs w:val="0"/>
              <w:i w:val="0"/>
              <w:szCs w:val="21"/>
              <w:lang w:val="en-US" w:eastAsia="zh-CN"/>
            </w:rPr>
            <w:t xml:space="preserve">1 </w:t>
          </w:r>
          <w:r>
            <w:rPr>
              <w:rFonts w:hint="eastAsia" w:hAnsi="Times New Roman" w:cs="Times New Roman"/>
              <w:lang w:val="en-US" w:eastAsia="zh-CN"/>
            </w:rPr>
            <w:t>范围</w:t>
          </w:r>
          <w:r>
            <w:tab/>
          </w:r>
          <w:r>
            <w:fldChar w:fldCharType="begin"/>
          </w:r>
          <w:r>
            <w:instrText xml:space="preserve"> PAGEREF _Toc27453 \h </w:instrText>
          </w:r>
          <w:r>
            <w:fldChar w:fldCharType="separate"/>
          </w:r>
          <w:r>
            <w:t>1</w:t>
          </w:r>
          <w:r>
            <w:fldChar w:fldCharType="end"/>
          </w:r>
          <w:r>
            <w:fldChar w:fldCharType="end"/>
          </w:r>
        </w:p>
        <w:p w14:paraId="52E8E68F">
          <w:pPr>
            <w:pStyle w:val="8"/>
            <w:tabs>
              <w:tab w:val="right" w:leader="dot" w:pos="9637"/>
            </w:tabs>
          </w:pPr>
          <w:r>
            <w:fldChar w:fldCharType="begin"/>
          </w:r>
          <w:r>
            <w:instrText xml:space="preserve"> HYPERLINK \l _Toc8750 </w:instrText>
          </w:r>
          <w:r>
            <w:fldChar w:fldCharType="separate"/>
          </w:r>
          <w:r>
            <w:rPr>
              <w:rFonts w:hint="default" w:ascii="黑体" w:hAnsi="Times New Roman" w:eastAsia="黑体" w:cs="Times New Roman"/>
              <w:bCs w:val="0"/>
              <w:i w:val="0"/>
              <w:szCs w:val="21"/>
              <w:lang w:val="en-US" w:eastAsia="zh-CN"/>
            </w:rPr>
            <w:t xml:space="preserve">2 </w:t>
          </w:r>
          <w:r>
            <w:rPr>
              <w:rFonts w:hint="eastAsia" w:hAnsi="Times New Roman" w:cs="Times New Roman"/>
              <w:lang w:val="en-US" w:eastAsia="zh-CN"/>
            </w:rPr>
            <w:t>规范性引用文件</w:t>
          </w:r>
          <w:r>
            <w:tab/>
          </w:r>
          <w:r>
            <w:fldChar w:fldCharType="begin"/>
          </w:r>
          <w:r>
            <w:instrText xml:space="preserve"> PAGEREF _Toc8750 \h </w:instrText>
          </w:r>
          <w:r>
            <w:fldChar w:fldCharType="separate"/>
          </w:r>
          <w:r>
            <w:t>1</w:t>
          </w:r>
          <w:r>
            <w:fldChar w:fldCharType="end"/>
          </w:r>
          <w:r>
            <w:fldChar w:fldCharType="end"/>
          </w:r>
        </w:p>
        <w:p w14:paraId="51CB8DD5">
          <w:pPr>
            <w:pStyle w:val="8"/>
            <w:tabs>
              <w:tab w:val="right" w:leader="dot" w:pos="9637"/>
            </w:tabs>
          </w:pPr>
          <w:r>
            <w:fldChar w:fldCharType="begin"/>
          </w:r>
          <w:r>
            <w:instrText xml:space="preserve"> HYPERLINK \l _Toc11311 </w:instrText>
          </w:r>
          <w:r>
            <w:fldChar w:fldCharType="separate"/>
          </w:r>
          <w:r>
            <w:rPr>
              <w:rFonts w:hint="default" w:ascii="黑体" w:hAnsi="Times New Roman" w:eastAsia="黑体" w:cs="Times New Roman"/>
              <w:bCs w:val="0"/>
              <w:i w:val="0"/>
              <w:szCs w:val="21"/>
              <w:lang w:val="en-US" w:eastAsia="zh-CN"/>
            </w:rPr>
            <w:t xml:space="preserve">3 </w:t>
          </w:r>
          <w:r>
            <w:rPr>
              <w:rFonts w:hint="eastAsia" w:hAnsi="Times New Roman" w:cs="Times New Roman"/>
              <w:lang w:val="en-US" w:eastAsia="zh-CN"/>
            </w:rPr>
            <w:t>术语和定义</w:t>
          </w:r>
          <w:r>
            <w:tab/>
          </w:r>
          <w:r>
            <w:fldChar w:fldCharType="begin"/>
          </w:r>
          <w:r>
            <w:instrText xml:space="preserve"> PAGEREF _Toc11311 \h </w:instrText>
          </w:r>
          <w:r>
            <w:fldChar w:fldCharType="separate"/>
          </w:r>
          <w:r>
            <w:t>1</w:t>
          </w:r>
          <w:r>
            <w:fldChar w:fldCharType="end"/>
          </w:r>
          <w:r>
            <w:fldChar w:fldCharType="end"/>
          </w:r>
        </w:p>
        <w:p w14:paraId="3CC26E8B">
          <w:pPr>
            <w:pStyle w:val="8"/>
            <w:tabs>
              <w:tab w:val="right" w:leader="dot" w:pos="9637"/>
            </w:tabs>
          </w:pPr>
          <w:r>
            <w:fldChar w:fldCharType="begin"/>
          </w:r>
          <w:r>
            <w:instrText xml:space="preserve"> HYPERLINK \l _Toc19766 </w:instrText>
          </w:r>
          <w:r>
            <w:fldChar w:fldCharType="separate"/>
          </w:r>
          <w:r>
            <w:rPr>
              <w:rFonts w:hint="default" w:ascii="黑体" w:hAnsi="Times New Roman" w:eastAsia="黑体" w:cs="Times New Roman"/>
              <w:bCs w:val="0"/>
              <w:i w:val="0"/>
              <w:szCs w:val="21"/>
              <w:lang w:val="en-US" w:eastAsia="zh-CN"/>
            </w:rPr>
            <w:t xml:space="preserve">4 </w:t>
          </w:r>
          <w:r>
            <w:rPr>
              <w:rFonts w:hint="eastAsia" w:hAnsi="Times New Roman" w:cs="Times New Roman"/>
              <w:lang w:val="en-US" w:eastAsia="zh-CN"/>
            </w:rPr>
            <w:t>总则</w:t>
          </w:r>
          <w:r>
            <w:tab/>
          </w:r>
          <w:r>
            <w:fldChar w:fldCharType="begin"/>
          </w:r>
          <w:r>
            <w:instrText xml:space="preserve"> PAGEREF _Toc19766 \h </w:instrText>
          </w:r>
          <w:r>
            <w:fldChar w:fldCharType="separate"/>
          </w:r>
          <w:r>
            <w:t>2</w:t>
          </w:r>
          <w:r>
            <w:fldChar w:fldCharType="end"/>
          </w:r>
          <w:r>
            <w:fldChar w:fldCharType="end"/>
          </w:r>
        </w:p>
        <w:p w14:paraId="36351D7A">
          <w:pPr>
            <w:pStyle w:val="4"/>
            <w:tabs>
              <w:tab w:val="right" w:leader="dot" w:pos="9637"/>
            </w:tabs>
          </w:pPr>
          <w:r>
            <w:fldChar w:fldCharType="begin"/>
          </w:r>
          <w:r>
            <w:instrText xml:space="preserve"> HYPERLINK \l _Toc7764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4.1 </w:t>
          </w:r>
          <w:r>
            <w:rPr>
              <w:rFonts w:hint="eastAsia" w:hAnsi="Times New Roman" w:cs="Times New Roman"/>
            </w:rPr>
            <w:t>基本原则</w:t>
          </w:r>
          <w:r>
            <w:tab/>
          </w:r>
          <w:r>
            <w:fldChar w:fldCharType="begin"/>
          </w:r>
          <w:r>
            <w:instrText xml:space="preserve"> PAGEREF _Toc7764 \h </w:instrText>
          </w:r>
          <w:r>
            <w:fldChar w:fldCharType="separate"/>
          </w:r>
          <w:r>
            <w:t>2</w:t>
          </w:r>
          <w:r>
            <w:fldChar w:fldCharType="end"/>
          </w:r>
          <w:r>
            <w:fldChar w:fldCharType="end"/>
          </w:r>
        </w:p>
        <w:p w14:paraId="07B7AB20">
          <w:pPr>
            <w:pStyle w:val="4"/>
            <w:tabs>
              <w:tab w:val="right" w:leader="dot" w:pos="9637"/>
            </w:tabs>
          </w:pPr>
          <w:r>
            <w:fldChar w:fldCharType="begin"/>
          </w:r>
          <w:r>
            <w:instrText xml:space="preserve"> HYPERLINK \l _Toc12524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4.2 </w:t>
          </w:r>
          <w:r>
            <w:rPr>
              <w:rFonts w:hint="eastAsia" w:hAnsi="Times New Roman" w:cs="Times New Roman"/>
              <w:lang w:val="en-US" w:eastAsia="zh-CN"/>
            </w:rPr>
            <w:t>目标</w:t>
          </w:r>
          <w:r>
            <w:tab/>
          </w:r>
          <w:r>
            <w:fldChar w:fldCharType="begin"/>
          </w:r>
          <w:r>
            <w:instrText xml:space="preserve"> PAGEREF _Toc12524 \h </w:instrText>
          </w:r>
          <w:r>
            <w:fldChar w:fldCharType="separate"/>
          </w:r>
          <w:r>
            <w:t>2</w:t>
          </w:r>
          <w:r>
            <w:fldChar w:fldCharType="end"/>
          </w:r>
          <w:r>
            <w:fldChar w:fldCharType="end"/>
          </w:r>
        </w:p>
        <w:p w14:paraId="03529954">
          <w:pPr>
            <w:pStyle w:val="4"/>
            <w:tabs>
              <w:tab w:val="right" w:leader="dot" w:pos="9637"/>
            </w:tabs>
          </w:pPr>
          <w:r>
            <w:fldChar w:fldCharType="begin"/>
          </w:r>
          <w:r>
            <w:instrText xml:space="preserve"> HYPERLINK \l _Toc22141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4.3 </w:t>
          </w:r>
          <w:r>
            <w:rPr>
              <w:rFonts w:hint="eastAsia" w:hAnsi="Times New Roman" w:cs="Times New Roman"/>
              <w:lang w:val="en-US" w:eastAsia="zh-CN"/>
            </w:rPr>
            <w:t>工作流程</w:t>
          </w:r>
          <w:r>
            <w:tab/>
          </w:r>
          <w:r>
            <w:fldChar w:fldCharType="begin"/>
          </w:r>
          <w:r>
            <w:instrText xml:space="preserve"> PAGEREF _Toc22141 \h </w:instrText>
          </w:r>
          <w:r>
            <w:fldChar w:fldCharType="separate"/>
          </w:r>
          <w:r>
            <w:t>2</w:t>
          </w:r>
          <w:r>
            <w:fldChar w:fldCharType="end"/>
          </w:r>
          <w:r>
            <w:fldChar w:fldCharType="end"/>
          </w:r>
        </w:p>
        <w:p w14:paraId="5A94E45F">
          <w:pPr>
            <w:pStyle w:val="4"/>
            <w:tabs>
              <w:tab w:val="right" w:leader="dot" w:pos="9637"/>
            </w:tabs>
          </w:pPr>
          <w:r>
            <w:fldChar w:fldCharType="begin"/>
          </w:r>
          <w:r>
            <w:instrText xml:space="preserve"> HYPERLINK \l _Toc16430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4.4 </w:t>
          </w:r>
          <w:r>
            <w:rPr>
              <w:rFonts w:hint="eastAsia" w:hAnsi="Times New Roman" w:cs="Times New Roman"/>
              <w:lang w:val="en-US" w:eastAsia="zh-CN"/>
            </w:rPr>
            <w:t>总体要求</w:t>
          </w:r>
          <w:r>
            <w:tab/>
          </w:r>
          <w:r>
            <w:fldChar w:fldCharType="begin"/>
          </w:r>
          <w:r>
            <w:instrText xml:space="preserve"> PAGEREF _Toc16430 \h </w:instrText>
          </w:r>
          <w:r>
            <w:fldChar w:fldCharType="separate"/>
          </w:r>
          <w:r>
            <w:t>2</w:t>
          </w:r>
          <w:r>
            <w:fldChar w:fldCharType="end"/>
          </w:r>
          <w:r>
            <w:fldChar w:fldCharType="end"/>
          </w:r>
        </w:p>
        <w:p w14:paraId="30C116B5">
          <w:pPr>
            <w:pStyle w:val="8"/>
            <w:tabs>
              <w:tab w:val="right" w:leader="dot" w:pos="9637"/>
            </w:tabs>
          </w:pPr>
          <w:r>
            <w:fldChar w:fldCharType="begin"/>
          </w:r>
          <w:r>
            <w:instrText xml:space="preserve"> HYPERLINK \l _Toc23716 </w:instrText>
          </w:r>
          <w:r>
            <w:fldChar w:fldCharType="separate"/>
          </w:r>
          <w:r>
            <w:rPr>
              <w:rFonts w:hint="default" w:ascii="黑体" w:hAnsi="Times New Roman" w:eastAsia="黑体" w:cs="Times New Roman"/>
              <w:bCs w:val="0"/>
              <w:i w:val="0"/>
              <w:szCs w:val="21"/>
              <w:lang w:val="en-US" w:eastAsia="zh-CN"/>
            </w:rPr>
            <w:t xml:space="preserve">5 </w:t>
          </w:r>
          <w:r>
            <w:rPr>
              <w:rFonts w:hint="eastAsia" w:hAnsi="Times New Roman" w:cs="Times New Roman"/>
              <w:lang w:val="en-US" w:eastAsia="zh-CN"/>
            </w:rPr>
            <w:t>静力水准监测系统设计</w:t>
          </w:r>
          <w:r>
            <w:tab/>
          </w:r>
          <w:r>
            <w:fldChar w:fldCharType="begin"/>
          </w:r>
          <w:r>
            <w:instrText xml:space="preserve"> PAGEREF _Toc23716 \h </w:instrText>
          </w:r>
          <w:r>
            <w:fldChar w:fldCharType="separate"/>
          </w:r>
          <w:r>
            <w:t>3</w:t>
          </w:r>
          <w:r>
            <w:fldChar w:fldCharType="end"/>
          </w:r>
          <w:r>
            <w:fldChar w:fldCharType="end"/>
          </w:r>
        </w:p>
        <w:p w14:paraId="25EAA981">
          <w:pPr>
            <w:pStyle w:val="4"/>
            <w:tabs>
              <w:tab w:val="right" w:leader="dot" w:pos="9637"/>
            </w:tabs>
          </w:pPr>
          <w:r>
            <w:fldChar w:fldCharType="begin"/>
          </w:r>
          <w:r>
            <w:instrText xml:space="preserve"> HYPERLINK \l _Toc152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5.1 </w:t>
          </w:r>
          <w:r>
            <w:rPr>
              <w:rFonts w:hint="eastAsia" w:hAnsi="Times New Roman" w:cs="Times New Roman"/>
              <w:lang w:val="en-US" w:eastAsia="zh-CN"/>
            </w:rPr>
            <w:t>资料收集</w:t>
          </w:r>
          <w:r>
            <w:tab/>
          </w:r>
          <w:r>
            <w:fldChar w:fldCharType="begin"/>
          </w:r>
          <w:r>
            <w:instrText xml:space="preserve"> PAGEREF _Toc152 \h </w:instrText>
          </w:r>
          <w:r>
            <w:fldChar w:fldCharType="separate"/>
          </w:r>
          <w:r>
            <w:t>3</w:t>
          </w:r>
          <w:r>
            <w:fldChar w:fldCharType="end"/>
          </w:r>
          <w:r>
            <w:fldChar w:fldCharType="end"/>
          </w:r>
        </w:p>
        <w:p w14:paraId="49F718AC">
          <w:pPr>
            <w:pStyle w:val="4"/>
            <w:tabs>
              <w:tab w:val="right" w:leader="dot" w:pos="9637"/>
            </w:tabs>
          </w:pPr>
          <w:r>
            <w:fldChar w:fldCharType="begin"/>
          </w:r>
          <w:r>
            <w:instrText xml:space="preserve"> HYPERLINK \l _Toc22250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5.2 </w:t>
          </w:r>
          <w:r>
            <w:rPr>
              <w:rFonts w:hint="default" w:hAnsi="Times New Roman" w:cs="Times New Roman"/>
              <w:lang w:val="en-US" w:eastAsia="zh-CN"/>
            </w:rPr>
            <w:t>监测等级</w:t>
          </w:r>
          <w:r>
            <w:rPr>
              <w:rFonts w:hint="eastAsia" w:hAnsi="Times New Roman" w:cs="Times New Roman"/>
              <w:lang w:val="en-US" w:eastAsia="zh-CN"/>
            </w:rPr>
            <w:t>划分</w:t>
          </w:r>
          <w:r>
            <w:tab/>
          </w:r>
          <w:r>
            <w:fldChar w:fldCharType="begin"/>
          </w:r>
          <w:r>
            <w:instrText xml:space="preserve"> PAGEREF _Toc22250 \h </w:instrText>
          </w:r>
          <w:r>
            <w:fldChar w:fldCharType="separate"/>
          </w:r>
          <w:r>
            <w:t>3</w:t>
          </w:r>
          <w:r>
            <w:fldChar w:fldCharType="end"/>
          </w:r>
          <w:r>
            <w:fldChar w:fldCharType="end"/>
          </w:r>
        </w:p>
        <w:p w14:paraId="7AD7AECB">
          <w:pPr>
            <w:pStyle w:val="4"/>
            <w:tabs>
              <w:tab w:val="right" w:leader="dot" w:pos="9637"/>
            </w:tabs>
          </w:pPr>
          <w:r>
            <w:fldChar w:fldCharType="begin"/>
          </w:r>
          <w:r>
            <w:instrText xml:space="preserve"> HYPERLINK \l _Toc17111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5.3 </w:t>
          </w:r>
          <w:r>
            <w:rPr>
              <w:rFonts w:hint="eastAsia" w:hAnsi="Times New Roman" w:cs="Times New Roman"/>
              <w:lang w:val="en-US" w:eastAsia="zh-CN"/>
            </w:rPr>
            <w:t>静力水准仪</w:t>
          </w:r>
          <w:r>
            <w:rPr>
              <w:rFonts w:hint="default" w:hAnsi="Times New Roman" w:cs="Times New Roman"/>
              <w:lang w:val="en-US" w:eastAsia="zh-CN"/>
            </w:rPr>
            <w:t>选择和标定</w:t>
          </w:r>
          <w:r>
            <w:tab/>
          </w:r>
          <w:r>
            <w:fldChar w:fldCharType="begin"/>
          </w:r>
          <w:r>
            <w:instrText xml:space="preserve"> PAGEREF _Toc17111 \h </w:instrText>
          </w:r>
          <w:r>
            <w:fldChar w:fldCharType="separate"/>
          </w:r>
          <w:r>
            <w:t>3</w:t>
          </w:r>
          <w:r>
            <w:fldChar w:fldCharType="end"/>
          </w:r>
          <w:r>
            <w:fldChar w:fldCharType="end"/>
          </w:r>
        </w:p>
        <w:p w14:paraId="1FF9F63D">
          <w:pPr>
            <w:pStyle w:val="4"/>
            <w:tabs>
              <w:tab w:val="right" w:leader="dot" w:pos="9637"/>
            </w:tabs>
          </w:pPr>
          <w:r>
            <w:fldChar w:fldCharType="begin"/>
          </w:r>
          <w:r>
            <w:instrText xml:space="preserve"> HYPERLINK \l _Toc3143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5.4 </w:t>
          </w:r>
          <w:r>
            <w:rPr>
              <w:rFonts w:hint="default"/>
              <w:lang w:val="en-US" w:eastAsia="zh-CN"/>
            </w:rPr>
            <w:t>液体选择</w:t>
          </w:r>
          <w:r>
            <w:rPr>
              <w:rFonts w:hint="eastAsia"/>
              <w:lang w:val="en-US" w:eastAsia="zh-CN"/>
            </w:rPr>
            <w:t>和</w:t>
          </w:r>
          <w:r>
            <w:rPr>
              <w:rFonts w:hint="default"/>
              <w:lang w:val="en-US" w:eastAsia="zh-CN"/>
            </w:rPr>
            <w:t>标定</w:t>
          </w:r>
          <w:r>
            <w:tab/>
          </w:r>
          <w:r>
            <w:fldChar w:fldCharType="begin"/>
          </w:r>
          <w:r>
            <w:instrText xml:space="preserve"> PAGEREF _Toc3143 \h </w:instrText>
          </w:r>
          <w:r>
            <w:fldChar w:fldCharType="separate"/>
          </w:r>
          <w:r>
            <w:t>4</w:t>
          </w:r>
          <w:r>
            <w:fldChar w:fldCharType="end"/>
          </w:r>
          <w:r>
            <w:fldChar w:fldCharType="end"/>
          </w:r>
        </w:p>
        <w:p w14:paraId="3AE6E012">
          <w:pPr>
            <w:pStyle w:val="4"/>
            <w:tabs>
              <w:tab w:val="right" w:leader="dot" w:pos="9637"/>
            </w:tabs>
          </w:pPr>
          <w:r>
            <w:fldChar w:fldCharType="begin"/>
          </w:r>
          <w:r>
            <w:instrText xml:space="preserve"> HYPERLINK \l _Toc17191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5.5 </w:t>
          </w:r>
          <w:r>
            <w:rPr>
              <w:rFonts w:hint="eastAsia"/>
              <w:lang w:val="en-US" w:eastAsia="zh-CN"/>
            </w:rPr>
            <w:t>静力水准系统保护形式</w:t>
          </w:r>
          <w:r>
            <w:tab/>
          </w:r>
          <w:r>
            <w:fldChar w:fldCharType="begin"/>
          </w:r>
          <w:r>
            <w:instrText xml:space="preserve"> PAGEREF _Toc17191 \h </w:instrText>
          </w:r>
          <w:r>
            <w:fldChar w:fldCharType="separate"/>
          </w:r>
          <w:r>
            <w:t>4</w:t>
          </w:r>
          <w:r>
            <w:fldChar w:fldCharType="end"/>
          </w:r>
          <w:r>
            <w:fldChar w:fldCharType="end"/>
          </w:r>
        </w:p>
        <w:p w14:paraId="58454815">
          <w:pPr>
            <w:pStyle w:val="4"/>
            <w:tabs>
              <w:tab w:val="right" w:leader="dot" w:pos="9637"/>
            </w:tabs>
          </w:pPr>
          <w:r>
            <w:fldChar w:fldCharType="begin"/>
          </w:r>
          <w:r>
            <w:instrText xml:space="preserve"> HYPERLINK \l _Toc22138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5.6 </w:t>
          </w:r>
          <w:r>
            <w:rPr>
              <w:rFonts w:hint="default"/>
              <w:lang w:val="en-US" w:eastAsia="zh-CN"/>
            </w:rPr>
            <w:t>其他要求</w:t>
          </w:r>
          <w:r>
            <w:tab/>
          </w:r>
          <w:r>
            <w:fldChar w:fldCharType="begin"/>
          </w:r>
          <w:r>
            <w:instrText xml:space="preserve"> PAGEREF _Toc22138 \h </w:instrText>
          </w:r>
          <w:r>
            <w:fldChar w:fldCharType="separate"/>
          </w:r>
          <w:r>
            <w:t>4</w:t>
          </w:r>
          <w:r>
            <w:fldChar w:fldCharType="end"/>
          </w:r>
          <w:r>
            <w:fldChar w:fldCharType="end"/>
          </w:r>
        </w:p>
        <w:p w14:paraId="646E693F">
          <w:pPr>
            <w:pStyle w:val="8"/>
            <w:tabs>
              <w:tab w:val="right" w:leader="dot" w:pos="9637"/>
            </w:tabs>
          </w:pPr>
          <w:r>
            <w:fldChar w:fldCharType="begin"/>
          </w:r>
          <w:r>
            <w:instrText xml:space="preserve"> HYPERLINK \l _Toc31579 </w:instrText>
          </w:r>
          <w:r>
            <w:fldChar w:fldCharType="separate"/>
          </w:r>
          <w:r>
            <w:rPr>
              <w:rFonts w:hint="default" w:ascii="黑体" w:hAnsi="Times New Roman" w:eastAsia="黑体"/>
              <w:bCs w:val="0"/>
              <w:i w:val="0"/>
              <w:szCs w:val="21"/>
              <w:lang w:val="en-US" w:eastAsia="zh-CN"/>
            </w:rPr>
            <w:t xml:space="preserve">6 </w:t>
          </w:r>
          <w:r>
            <w:rPr>
              <w:rFonts w:hint="default"/>
              <w:lang w:val="en-US" w:eastAsia="zh-CN"/>
            </w:rPr>
            <w:t>监测仪器安装与调试</w:t>
          </w:r>
          <w:r>
            <w:tab/>
          </w:r>
          <w:r>
            <w:fldChar w:fldCharType="begin"/>
          </w:r>
          <w:r>
            <w:instrText xml:space="preserve"> PAGEREF _Toc31579 \h </w:instrText>
          </w:r>
          <w:r>
            <w:fldChar w:fldCharType="separate"/>
          </w:r>
          <w:r>
            <w:t>4</w:t>
          </w:r>
          <w:r>
            <w:fldChar w:fldCharType="end"/>
          </w:r>
          <w:r>
            <w:fldChar w:fldCharType="end"/>
          </w:r>
        </w:p>
        <w:p w14:paraId="7025BF20">
          <w:pPr>
            <w:pStyle w:val="4"/>
            <w:tabs>
              <w:tab w:val="right" w:leader="dot" w:pos="9637"/>
            </w:tabs>
          </w:pPr>
          <w:r>
            <w:fldChar w:fldCharType="begin"/>
          </w:r>
          <w:r>
            <w:instrText xml:space="preserve"> HYPERLINK \l _Toc7194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6.1 </w:t>
          </w:r>
          <w:r>
            <w:rPr>
              <w:rFonts w:hint="default"/>
              <w:lang w:val="en-US" w:eastAsia="zh-CN"/>
            </w:rPr>
            <w:t>监测仪器安装</w:t>
          </w:r>
          <w:r>
            <w:tab/>
          </w:r>
          <w:r>
            <w:fldChar w:fldCharType="begin"/>
          </w:r>
          <w:r>
            <w:instrText xml:space="preserve"> PAGEREF _Toc7194 \h </w:instrText>
          </w:r>
          <w:r>
            <w:fldChar w:fldCharType="separate"/>
          </w:r>
          <w:r>
            <w:t>4</w:t>
          </w:r>
          <w:r>
            <w:fldChar w:fldCharType="end"/>
          </w:r>
          <w:r>
            <w:fldChar w:fldCharType="end"/>
          </w:r>
        </w:p>
        <w:p w14:paraId="3F8B416C">
          <w:pPr>
            <w:pStyle w:val="4"/>
            <w:tabs>
              <w:tab w:val="right" w:leader="dot" w:pos="9637"/>
            </w:tabs>
          </w:pPr>
          <w:r>
            <w:fldChar w:fldCharType="begin"/>
          </w:r>
          <w:r>
            <w:instrText xml:space="preserve"> HYPERLINK \l _Toc18410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6.2 </w:t>
          </w:r>
          <w:r>
            <w:rPr>
              <w:rFonts w:hint="default"/>
              <w:lang w:val="en-US" w:eastAsia="zh-CN"/>
            </w:rPr>
            <w:t>监测仪器调试</w:t>
          </w:r>
          <w:r>
            <w:tab/>
          </w:r>
          <w:r>
            <w:fldChar w:fldCharType="begin"/>
          </w:r>
          <w:r>
            <w:instrText xml:space="preserve"> PAGEREF _Toc18410 \h </w:instrText>
          </w:r>
          <w:r>
            <w:fldChar w:fldCharType="separate"/>
          </w:r>
          <w:r>
            <w:t>6</w:t>
          </w:r>
          <w:r>
            <w:fldChar w:fldCharType="end"/>
          </w:r>
          <w:r>
            <w:fldChar w:fldCharType="end"/>
          </w:r>
        </w:p>
        <w:p w14:paraId="54DA2F46">
          <w:pPr>
            <w:pStyle w:val="8"/>
            <w:tabs>
              <w:tab w:val="right" w:leader="dot" w:pos="9637"/>
            </w:tabs>
          </w:pPr>
          <w:r>
            <w:fldChar w:fldCharType="begin"/>
          </w:r>
          <w:r>
            <w:instrText xml:space="preserve"> HYPERLINK \l _Toc9668 </w:instrText>
          </w:r>
          <w:r>
            <w:fldChar w:fldCharType="separate"/>
          </w:r>
          <w:r>
            <w:rPr>
              <w:rFonts w:hint="default" w:ascii="黑体" w:hAnsi="Times New Roman" w:eastAsia="黑体"/>
              <w:bCs w:val="0"/>
              <w:i w:val="0"/>
              <w:szCs w:val="21"/>
              <w:lang w:val="en-US" w:eastAsia="zh-CN"/>
            </w:rPr>
            <w:t xml:space="preserve">7 </w:t>
          </w:r>
          <w:r>
            <w:rPr>
              <w:rFonts w:hint="eastAsia"/>
              <w:lang w:val="en-US" w:eastAsia="zh-CN"/>
            </w:rPr>
            <w:t>终端数据采集和处理</w:t>
          </w:r>
          <w:r>
            <w:tab/>
          </w:r>
          <w:r>
            <w:fldChar w:fldCharType="begin"/>
          </w:r>
          <w:r>
            <w:instrText xml:space="preserve"> PAGEREF _Toc9668 \h </w:instrText>
          </w:r>
          <w:r>
            <w:fldChar w:fldCharType="separate"/>
          </w:r>
          <w:r>
            <w:t>6</w:t>
          </w:r>
          <w:r>
            <w:fldChar w:fldCharType="end"/>
          </w:r>
          <w:r>
            <w:fldChar w:fldCharType="end"/>
          </w:r>
        </w:p>
        <w:p w14:paraId="03197849">
          <w:pPr>
            <w:pStyle w:val="4"/>
            <w:tabs>
              <w:tab w:val="right" w:leader="dot" w:pos="9637"/>
            </w:tabs>
          </w:pPr>
          <w:r>
            <w:fldChar w:fldCharType="begin"/>
          </w:r>
          <w:r>
            <w:instrText xml:space="preserve"> HYPERLINK \l _Toc1540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rPr>
            <w:t xml:space="preserve">7.1 </w:t>
          </w:r>
          <w:r>
            <w:rPr>
              <w:rFonts w:hint="eastAsia"/>
              <w:lang w:val="en-US" w:eastAsia="zh-CN"/>
            </w:rPr>
            <w:t>终端</w:t>
          </w:r>
          <w:r>
            <w:rPr>
              <w:rFonts w:hint="eastAsia"/>
            </w:rPr>
            <w:t>数据采集</w:t>
          </w:r>
          <w:r>
            <w:tab/>
          </w:r>
          <w:r>
            <w:fldChar w:fldCharType="begin"/>
          </w:r>
          <w:r>
            <w:instrText xml:space="preserve"> PAGEREF _Toc1540 \h </w:instrText>
          </w:r>
          <w:r>
            <w:fldChar w:fldCharType="separate"/>
          </w:r>
          <w:r>
            <w:t>6</w:t>
          </w:r>
          <w:r>
            <w:fldChar w:fldCharType="end"/>
          </w:r>
          <w:r>
            <w:fldChar w:fldCharType="end"/>
          </w:r>
        </w:p>
        <w:p w14:paraId="3CB83D34">
          <w:pPr>
            <w:pStyle w:val="4"/>
            <w:tabs>
              <w:tab w:val="right" w:leader="dot" w:pos="9637"/>
            </w:tabs>
          </w:pPr>
          <w:r>
            <w:fldChar w:fldCharType="begin"/>
          </w:r>
          <w:r>
            <w:instrText xml:space="preserve"> HYPERLINK \l _Toc24269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7.2 </w:t>
          </w:r>
          <w:r>
            <w:rPr>
              <w:rFonts w:hint="eastAsia"/>
              <w:lang w:val="en-US" w:eastAsia="zh-CN"/>
            </w:rPr>
            <w:t>终端数据处理</w:t>
          </w:r>
          <w:r>
            <w:tab/>
          </w:r>
          <w:r>
            <w:fldChar w:fldCharType="begin"/>
          </w:r>
          <w:r>
            <w:instrText xml:space="preserve"> PAGEREF _Toc24269 \h </w:instrText>
          </w:r>
          <w:r>
            <w:fldChar w:fldCharType="separate"/>
          </w:r>
          <w:r>
            <w:t>6</w:t>
          </w:r>
          <w:r>
            <w:fldChar w:fldCharType="end"/>
          </w:r>
          <w:r>
            <w:fldChar w:fldCharType="end"/>
          </w:r>
        </w:p>
        <w:p w14:paraId="38E87A86">
          <w:pPr>
            <w:pStyle w:val="8"/>
            <w:tabs>
              <w:tab w:val="right" w:leader="dot" w:pos="9637"/>
            </w:tabs>
          </w:pPr>
          <w:r>
            <w:fldChar w:fldCharType="begin"/>
          </w:r>
          <w:r>
            <w:instrText xml:space="preserve"> HYPERLINK \l _Toc29446 </w:instrText>
          </w:r>
          <w:r>
            <w:fldChar w:fldCharType="separate"/>
          </w:r>
          <w:r>
            <w:rPr>
              <w:rFonts w:hint="default" w:ascii="黑体" w:hAnsi="Times New Roman" w:eastAsia="黑体"/>
              <w:bCs w:val="0"/>
              <w:i w:val="0"/>
              <w:szCs w:val="21"/>
              <w:lang w:val="en-US" w:eastAsia="zh-CN"/>
            </w:rPr>
            <w:t xml:space="preserve">8 </w:t>
          </w:r>
          <w:r>
            <w:rPr>
              <w:rFonts w:hint="eastAsia"/>
              <w:lang w:val="en-US" w:eastAsia="zh-CN"/>
            </w:rPr>
            <w:t>终端数据上报</w:t>
          </w:r>
          <w:r>
            <w:tab/>
          </w:r>
          <w:r>
            <w:fldChar w:fldCharType="begin"/>
          </w:r>
          <w:r>
            <w:instrText xml:space="preserve"> PAGEREF _Toc29446 \h </w:instrText>
          </w:r>
          <w:r>
            <w:fldChar w:fldCharType="separate"/>
          </w:r>
          <w:r>
            <w:t>6</w:t>
          </w:r>
          <w:r>
            <w:fldChar w:fldCharType="end"/>
          </w:r>
          <w:r>
            <w:fldChar w:fldCharType="end"/>
          </w:r>
        </w:p>
        <w:p w14:paraId="5F202788">
          <w:pPr>
            <w:pStyle w:val="8"/>
            <w:tabs>
              <w:tab w:val="right" w:leader="dot" w:pos="9637"/>
            </w:tabs>
          </w:pPr>
          <w:r>
            <w:fldChar w:fldCharType="begin"/>
          </w:r>
          <w:r>
            <w:instrText xml:space="preserve"> HYPERLINK \l _Toc30990 </w:instrText>
          </w:r>
          <w:r>
            <w:fldChar w:fldCharType="separate"/>
          </w:r>
          <w:r>
            <w:rPr>
              <w:rFonts w:hint="default" w:ascii="黑体" w:hAnsi="Times New Roman" w:eastAsia="黑体"/>
              <w:bCs w:val="0"/>
              <w:i w:val="0"/>
              <w:szCs w:val="21"/>
              <w:lang w:val="en-US" w:eastAsia="zh-CN"/>
            </w:rPr>
            <w:t xml:space="preserve">9 </w:t>
          </w:r>
          <w:r>
            <w:rPr>
              <w:rFonts w:hint="eastAsia"/>
              <w:lang w:val="en-US" w:eastAsia="zh-CN"/>
            </w:rPr>
            <w:t>云平台及数据分析</w:t>
          </w:r>
          <w:r>
            <w:tab/>
          </w:r>
          <w:r>
            <w:fldChar w:fldCharType="begin"/>
          </w:r>
          <w:r>
            <w:instrText xml:space="preserve"> PAGEREF _Toc30990 \h </w:instrText>
          </w:r>
          <w:r>
            <w:fldChar w:fldCharType="separate"/>
          </w:r>
          <w:r>
            <w:t>7</w:t>
          </w:r>
          <w:r>
            <w:fldChar w:fldCharType="end"/>
          </w:r>
          <w:r>
            <w:fldChar w:fldCharType="end"/>
          </w:r>
        </w:p>
        <w:p w14:paraId="2BB1421E">
          <w:pPr>
            <w:pStyle w:val="8"/>
            <w:tabs>
              <w:tab w:val="right" w:leader="dot" w:pos="9637"/>
            </w:tabs>
          </w:pPr>
          <w:r>
            <w:fldChar w:fldCharType="begin"/>
          </w:r>
          <w:r>
            <w:instrText xml:space="preserve"> HYPERLINK \l _Toc16021 </w:instrText>
          </w:r>
          <w:r>
            <w:fldChar w:fldCharType="separate"/>
          </w:r>
          <w:r>
            <w:rPr>
              <w:rFonts w:hint="default" w:ascii="黑体" w:hAnsi="Times New Roman" w:eastAsia="黑体"/>
              <w:bCs w:val="0"/>
              <w:i w:val="0"/>
              <w:szCs w:val="21"/>
              <w:lang w:val="en-US" w:eastAsia="zh-CN"/>
            </w:rPr>
            <w:t xml:space="preserve">10 </w:t>
          </w:r>
          <w:r>
            <w:rPr>
              <w:rFonts w:hint="eastAsia"/>
              <w:lang w:val="en-US" w:eastAsia="zh-CN"/>
            </w:rPr>
            <w:t>运行管理与维护</w:t>
          </w:r>
          <w:r>
            <w:tab/>
          </w:r>
          <w:r>
            <w:fldChar w:fldCharType="begin"/>
          </w:r>
          <w:r>
            <w:instrText xml:space="preserve"> PAGEREF _Toc16021 \h </w:instrText>
          </w:r>
          <w:r>
            <w:fldChar w:fldCharType="separate"/>
          </w:r>
          <w:r>
            <w:t>7</w:t>
          </w:r>
          <w:r>
            <w:fldChar w:fldCharType="end"/>
          </w:r>
          <w:r>
            <w:fldChar w:fldCharType="end"/>
          </w:r>
        </w:p>
        <w:p w14:paraId="3AEDFEF6">
          <w:pPr>
            <w:pStyle w:val="4"/>
            <w:tabs>
              <w:tab w:val="right" w:leader="dot" w:pos="9637"/>
            </w:tabs>
          </w:pPr>
          <w:r>
            <w:fldChar w:fldCharType="begin"/>
          </w:r>
          <w:r>
            <w:instrText xml:space="preserve"> HYPERLINK \l _Toc10323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10.1 </w:t>
          </w:r>
          <w:r>
            <w:rPr>
              <w:rFonts w:hint="default"/>
              <w:lang w:val="en-US" w:eastAsia="zh-CN"/>
            </w:rPr>
            <w:t>运行管理</w:t>
          </w:r>
          <w:r>
            <w:tab/>
          </w:r>
          <w:r>
            <w:fldChar w:fldCharType="begin"/>
          </w:r>
          <w:r>
            <w:instrText xml:space="preserve"> PAGEREF _Toc10323 \h </w:instrText>
          </w:r>
          <w:r>
            <w:fldChar w:fldCharType="separate"/>
          </w:r>
          <w:r>
            <w:t>7</w:t>
          </w:r>
          <w:r>
            <w:fldChar w:fldCharType="end"/>
          </w:r>
          <w:r>
            <w:fldChar w:fldCharType="end"/>
          </w:r>
        </w:p>
        <w:p w14:paraId="530D23E1">
          <w:pPr>
            <w:pStyle w:val="4"/>
            <w:tabs>
              <w:tab w:val="right" w:leader="dot" w:pos="9637"/>
            </w:tabs>
          </w:pPr>
          <w:r>
            <w:fldChar w:fldCharType="begin"/>
          </w:r>
          <w:r>
            <w:instrText xml:space="preserve"> HYPERLINK \l _Toc21434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10.2 </w:t>
          </w:r>
          <w:r>
            <w:rPr>
              <w:rFonts w:hint="default"/>
              <w:lang w:val="en-US" w:eastAsia="zh-CN"/>
            </w:rPr>
            <w:t>维护</w:t>
          </w:r>
          <w:r>
            <w:tab/>
          </w:r>
          <w:r>
            <w:fldChar w:fldCharType="begin"/>
          </w:r>
          <w:r>
            <w:instrText xml:space="preserve"> PAGEREF _Toc21434 \h </w:instrText>
          </w:r>
          <w:r>
            <w:fldChar w:fldCharType="separate"/>
          </w:r>
          <w:r>
            <w:t>7</w:t>
          </w:r>
          <w:r>
            <w:fldChar w:fldCharType="end"/>
          </w:r>
          <w:r>
            <w:fldChar w:fldCharType="end"/>
          </w:r>
        </w:p>
        <w:p w14:paraId="756E7753">
          <w:pPr>
            <w:pStyle w:val="8"/>
            <w:tabs>
              <w:tab w:val="right" w:leader="dot" w:pos="9637"/>
            </w:tabs>
          </w:pPr>
          <w:r>
            <w:fldChar w:fldCharType="begin"/>
          </w:r>
          <w:r>
            <w:instrText xml:space="preserve"> HYPERLINK \l _Toc6738 </w:instrText>
          </w:r>
          <w:r>
            <w:fldChar w:fldCharType="separate"/>
          </w:r>
          <w:r>
            <w:rPr>
              <w:rFonts w:hint="default" w:ascii="黑体" w:hAnsi="Times New Roman" w:eastAsia="黑体"/>
              <w:bCs w:val="0"/>
              <w:i w:val="0"/>
              <w:szCs w:val="21"/>
              <w:lang w:val="en-US" w:eastAsia="zh-CN"/>
            </w:rPr>
            <w:t xml:space="preserve">11 </w:t>
          </w:r>
          <w:r>
            <w:rPr>
              <w:rFonts w:hint="eastAsia"/>
              <w:lang w:val="en-US" w:eastAsia="zh-CN"/>
            </w:rPr>
            <w:t>报告编制</w:t>
          </w:r>
          <w:r>
            <w:tab/>
          </w:r>
          <w:r>
            <w:fldChar w:fldCharType="begin"/>
          </w:r>
          <w:r>
            <w:instrText xml:space="preserve"> PAGEREF _Toc6738 \h </w:instrText>
          </w:r>
          <w:r>
            <w:fldChar w:fldCharType="separate"/>
          </w:r>
          <w:r>
            <w:t>8</w:t>
          </w:r>
          <w:r>
            <w:fldChar w:fldCharType="end"/>
          </w:r>
          <w:r>
            <w:fldChar w:fldCharType="end"/>
          </w:r>
        </w:p>
        <w:p w14:paraId="289514F2">
          <w:pPr>
            <w:pStyle w:val="8"/>
            <w:tabs>
              <w:tab w:val="right" w:leader="dot" w:pos="9637"/>
            </w:tabs>
          </w:pPr>
          <w:r>
            <w:fldChar w:fldCharType="begin"/>
          </w:r>
          <w:r>
            <w:instrText xml:space="preserve"> HYPERLINK \l _Toc22538 </w:instrText>
          </w:r>
          <w:r>
            <w:fldChar w:fldCharType="separate"/>
          </w:r>
          <w:r>
            <w:rPr>
              <w:rFonts w:hint="default" w:ascii="黑体" w:hAnsi="Times New Roman" w:eastAsia="黑体"/>
              <w:bCs w:val="0"/>
              <w:i w:val="0"/>
              <w:szCs w:val="21"/>
              <w:lang w:val="en-US" w:eastAsia="zh-CN"/>
            </w:rPr>
            <w:t xml:space="preserve">12 </w:t>
          </w:r>
          <w:r>
            <w:rPr>
              <w:rFonts w:hint="eastAsia"/>
              <w:lang w:val="en-US" w:eastAsia="zh-CN"/>
            </w:rPr>
            <w:t>验收</w:t>
          </w:r>
          <w:r>
            <w:tab/>
          </w:r>
          <w:r>
            <w:fldChar w:fldCharType="begin"/>
          </w:r>
          <w:r>
            <w:instrText xml:space="preserve"> PAGEREF _Toc22538 \h </w:instrText>
          </w:r>
          <w:r>
            <w:fldChar w:fldCharType="separate"/>
          </w:r>
          <w:r>
            <w:t>8</w:t>
          </w:r>
          <w:r>
            <w:fldChar w:fldCharType="end"/>
          </w:r>
          <w:r>
            <w:fldChar w:fldCharType="end"/>
          </w:r>
        </w:p>
        <w:p w14:paraId="291D6943">
          <w:pPr>
            <w:pStyle w:val="4"/>
            <w:tabs>
              <w:tab w:val="right" w:leader="dot" w:pos="9637"/>
            </w:tabs>
          </w:pPr>
          <w:r>
            <w:fldChar w:fldCharType="begin"/>
          </w:r>
          <w:r>
            <w:instrText xml:space="preserve"> HYPERLINK \l _Toc21211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12.1 </w:t>
          </w:r>
          <w:r>
            <w:rPr>
              <w:rFonts w:hint="eastAsia"/>
              <w:lang w:val="en-US" w:eastAsia="zh-CN"/>
            </w:rPr>
            <w:t>验收内容</w:t>
          </w:r>
          <w:r>
            <w:tab/>
          </w:r>
          <w:r>
            <w:fldChar w:fldCharType="begin"/>
          </w:r>
          <w:r>
            <w:instrText xml:space="preserve"> PAGEREF _Toc21211 \h </w:instrText>
          </w:r>
          <w:r>
            <w:fldChar w:fldCharType="separate"/>
          </w:r>
          <w:r>
            <w:t>8</w:t>
          </w:r>
          <w:r>
            <w:fldChar w:fldCharType="end"/>
          </w:r>
          <w:r>
            <w:fldChar w:fldCharType="end"/>
          </w:r>
        </w:p>
        <w:p w14:paraId="1292DA81">
          <w:pPr>
            <w:pStyle w:val="4"/>
            <w:tabs>
              <w:tab w:val="right" w:leader="dot" w:pos="9637"/>
            </w:tabs>
          </w:pPr>
          <w:r>
            <w:fldChar w:fldCharType="begin"/>
          </w:r>
          <w:r>
            <w:instrText xml:space="preserve"> HYPERLINK \l _Toc17993 </w:instrText>
          </w:r>
          <w:r>
            <w:fldChar w:fldCharType="separate"/>
          </w:r>
          <w:r>
            <w:rPr>
              <w:rFonts w:hint="default"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12.2 </w:t>
          </w:r>
          <w:r>
            <w:rPr>
              <w:rFonts w:hint="eastAsia"/>
              <w:lang w:val="en-US" w:eastAsia="zh-CN"/>
            </w:rPr>
            <w:t>验收标准</w:t>
          </w:r>
          <w:r>
            <w:tab/>
          </w:r>
          <w:r>
            <w:fldChar w:fldCharType="begin"/>
          </w:r>
          <w:r>
            <w:instrText xml:space="preserve"> PAGEREF _Toc17993 \h </w:instrText>
          </w:r>
          <w:r>
            <w:fldChar w:fldCharType="separate"/>
          </w:r>
          <w:r>
            <w:t>8</w:t>
          </w:r>
          <w:r>
            <w:fldChar w:fldCharType="end"/>
          </w:r>
          <w:r>
            <w:fldChar w:fldCharType="end"/>
          </w:r>
        </w:p>
        <w:p w14:paraId="747AB61D">
          <w:pPr>
            <w:pStyle w:val="7"/>
            <w:tabs>
              <w:tab w:val="right" w:leader="dot" w:pos="9637"/>
            </w:tabs>
          </w:pPr>
          <w:r>
            <w:fldChar w:fldCharType="begin"/>
          </w:r>
          <w:r>
            <w:instrText xml:space="preserve"> HYPERLINK \l _Toc26510 </w:instrText>
          </w:r>
          <w:r>
            <w:fldChar w:fldCharType="separate"/>
          </w:r>
          <w:r>
            <w:rPr>
              <w:rFonts w:hint="eastAsia" w:ascii="黑体" w:hAnsi="Times New Roman" w:eastAsia="黑体"/>
              <w:i w:val="0"/>
              <w:spacing w:val="0"/>
              <w:w w:val="100"/>
            </w:rPr>
            <w:t xml:space="preserve">附　录　A </w:t>
          </w:r>
          <w:r>
            <w:t xml:space="preserve"> </w:t>
          </w:r>
          <w:r>
            <w:rPr>
              <w:rFonts w:hint="eastAsia" w:hAnsi="Times New Roman" w:cs="Times New Roman"/>
            </w:rPr>
            <w:t>（</w:t>
          </w:r>
          <w:r>
            <w:rPr>
              <w:rFonts w:hint="eastAsia" w:hAnsi="Times New Roman" w:cs="Times New Roman"/>
              <w:lang w:val="en-US" w:eastAsia="zh-CN"/>
            </w:rPr>
            <w:t>资料</w:t>
          </w:r>
          <w:r>
            <w:rPr>
              <w:rFonts w:hint="eastAsia" w:hAnsi="Times New Roman" w:cs="Times New Roman"/>
            </w:rPr>
            <w:t>性附录）</w:t>
          </w:r>
          <w:r>
            <w:rPr>
              <w:highlight w:val="none"/>
            </w:rPr>
            <w:t xml:space="preserve"> </w:t>
          </w:r>
          <w:r>
            <w:rPr>
              <w:rFonts w:hint="eastAsia" w:hAnsi="Times New Roman" w:cs="Times New Roman"/>
              <w:lang w:val="en-US" w:eastAsia="zh-CN"/>
            </w:rPr>
            <w:t>静力水准系统安装及数据处理示意图</w:t>
          </w:r>
          <w:r>
            <w:tab/>
          </w:r>
          <w:r>
            <w:fldChar w:fldCharType="begin"/>
          </w:r>
          <w:r>
            <w:instrText xml:space="preserve"> PAGEREF _Toc26510 \h </w:instrText>
          </w:r>
          <w:r>
            <w:fldChar w:fldCharType="separate"/>
          </w:r>
          <w:r>
            <w:t>10</w:t>
          </w:r>
          <w:r>
            <w:fldChar w:fldCharType="end"/>
          </w:r>
          <w:r>
            <w:fldChar w:fldCharType="end"/>
          </w:r>
        </w:p>
        <w:p w14:paraId="6CD7ADC4">
          <w:pPr>
            <w:pStyle w:val="8"/>
            <w:tabs>
              <w:tab w:val="right" w:leader="dot" w:pos="9637"/>
            </w:tabs>
          </w:pPr>
          <w:r>
            <w:fldChar w:fldCharType="begin"/>
          </w:r>
          <w:r>
            <w:instrText xml:space="preserve"> HYPERLINK \l _Toc23425 </w:instrText>
          </w:r>
          <w:r>
            <w:fldChar w:fldCharType="separate"/>
          </w:r>
          <w:r>
            <w:rPr>
              <w:rFonts w:hint="eastAsia" w:ascii="黑体" w:hAnsi="Times New Roman" w:eastAsia="黑体"/>
              <w:i w:val="0"/>
              <w:snapToGrid/>
              <w:spacing w:val="0"/>
              <w:w w:val="100"/>
              <w:kern w:val="21"/>
              <w:lang w:val="en-US" w:eastAsia="zh-CN"/>
            </w:rPr>
            <w:t xml:space="preserve">A.1 </w:t>
          </w:r>
          <w:r>
            <w:rPr>
              <w:rFonts w:hint="eastAsia"/>
            </w:rPr>
            <w:t>静力水准仪系统安装示意图</w:t>
          </w:r>
          <w:r>
            <w:tab/>
          </w:r>
          <w:r>
            <w:fldChar w:fldCharType="begin"/>
          </w:r>
          <w:r>
            <w:instrText xml:space="preserve"> PAGEREF _Toc23425 \h </w:instrText>
          </w:r>
          <w:r>
            <w:fldChar w:fldCharType="separate"/>
          </w:r>
          <w:r>
            <w:t>10</w:t>
          </w:r>
          <w:r>
            <w:fldChar w:fldCharType="end"/>
          </w:r>
          <w:r>
            <w:fldChar w:fldCharType="end"/>
          </w:r>
        </w:p>
        <w:p w14:paraId="14BE24D1">
          <w:pPr>
            <w:pStyle w:val="8"/>
            <w:tabs>
              <w:tab w:val="right" w:leader="dot" w:pos="9637"/>
            </w:tabs>
          </w:pPr>
          <w:r>
            <w:fldChar w:fldCharType="begin"/>
          </w:r>
          <w:r>
            <w:instrText xml:space="preserve"> HYPERLINK \l _Toc22805 </w:instrText>
          </w:r>
          <w:r>
            <w:fldChar w:fldCharType="separate"/>
          </w:r>
          <w:r>
            <w:rPr>
              <w:rFonts w:hint="eastAsia" w:ascii="黑体" w:hAnsi="Times New Roman" w:eastAsia="黑体"/>
              <w:i w:val="0"/>
              <w:snapToGrid/>
              <w:spacing w:val="0"/>
              <w:w w:val="100"/>
              <w:kern w:val="21"/>
              <w:lang w:val="en-US" w:eastAsia="zh-CN"/>
            </w:rPr>
            <w:t xml:space="preserve">A.2 </w:t>
          </w:r>
          <w:r>
            <w:rPr>
              <w:rFonts w:hint="eastAsia"/>
              <w:lang w:val="en-US" w:eastAsia="zh-CN"/>
            </w:rPr>
            <w:t>现场物联网连接示意图</w:t>
          </w:r>
          <w:r>
            <w:tab/>
          </w:r>
          <w:r>
            <w:fldChar w:fldCharType="begin"/>
          </w:r>
          <w:r>
            <w:instrText xml:space="preserve"> PAGEREF _Toc22805 \h </w:instrText>
          </w:r>
          <w:r>
            <w:fldChar w:fldCharType="separate"/>
          </w:r>
          <w:r>
            <w:t>10</w:t>
          </w:r>
          <w:r>
            <w:fldChar w:fldCharType="end"/>
          </w:r>
          <w:r>
            <w:fldChar w:fldCharType="end"/>
          </w:r>
        </w:p>
        <w:p w14:paraId="1AA51059">
          <w:pPr>
            <w:pStyle w:val="8"/>
            <w:tabs>
              <w:tab w:val="right" w:leader="dot" w:pos="9637"/>
            </w:tabs>
          </w:pPr>
          <w:r>
            <w:fldChar w:fldCharType="begin"/>
          </w:r>
          <w:r>
            <w:instrText xml:space="preserve"> HYPERLINK \l _Toc29182 </w:instrText>
          </w:r>
          <w:r>
            <w:fldChar w:fldCharType="separate"/>
          </w:r>
          <w:r>
            <w:rPr>
              <w:rFonts w:hint="eastAsia" w:ascii="黑体" w:hAnsi="Times New Roman" w:eastAsia="黑体"/>
              <w:i w:val="0"/>
              <w:snapToGrid/>
              <w:spacing w:val="0"/>
              <w:w w:val="100"/>
              <w:kern w:val="21"/>
              <w:lang w:val="en-US" w:eastAsia="zh-CN"/>
            </w:rPr>
            <w:t xml:space="preserve">A.3 </w:t>
          </w:r>
          <w:r>
            <w:rPr>
              <w:rFonts w:hint="eastAsia"/>
              <w:lang w:val="en-US" w:eastAsia="zh-CN"/>
            </w:rPr>
            <w:t>分层沉降横道图</w:t>
          </w:r>
          <w:r>
            <w:tab/>
          </w:r>
          <w:r>
            <w:fldChar w:fldCharType="begin"/>
          </w:r>
          <w:r>
            <w:instrText xml:space="preserve"> PAGEREF _Toc29182 \h </w:instrText>
          </w:r>
          <w:r>
            <w:fldChar w:fldCharType="separate"/>
          </w:r>
          <w:r>
            <w:t>11</w:t>
          </w:r>
          <w:r>
            <w:fldChar w:fldCharType="end"/>
          </w:r>
          <w:r>
            <w:fldChar w:fldCharType="end"/>
          </w:r>
        </w:p>
        <w:p w14:paraId="091CB096">
          <w:pPr>
            <w:pStyle w:val="8"/>
            <w:tabs>
              <w:tab w:val="right" w:leader="dot" w:pos="9637"/>
            </w:tabs>
          </w:pPr>
          <w:r>
            <w:fldChar w:fldCharType="begin"/>
          </w:r>
          <w:r>
            <w:instrText xml:space="preserve"> HYPERLINK \l _Toc22664 </w:instrText>
          </w:r>
          <w:r>
            <w:fldChar w:fldCharType="separate"/>
          </w:r>
          <w:r>
            <w:rPr>
              <w:rFonts w:hint="eastAsia" w:ascii="黑体" w:hAnsi="Times New Roman" w:eastAsia="黑体"/>
              <w:i w:val="0"/>
              <w:snapToGrid/>
              <w:spacing w:val="0"/>
              <w:w w:val="100"/>
              <w:kern w:val="21"/>
              <w:lang w:val="en-US" w:eastAsia="zh-CN"/>
            </w:rPr>
            <w:t xml:space="preserve">A.4 </w:t>
          </w:r>
          <w:r>
            <w:rPr>
              <w:rFonts w:hint="eastAsia"/>
              <w:lang w:val="en-US" w:eastAsia="zh-CN"/>
            </w:rPr>
            <w:t>静力水准系统安装形式优缺点B表</w:t>
          </w:r>
          <w:r>
            <w:tab/>
          </w:r>
          <w:r>
            <w:fldChar w:fldCharType="begin"/>
          </w:r>
          <w:r>
            <w:instrText xml:space="preserve"> PAGEREF _Toc22664 \h </w:instrText>
          </w:r>
          <w:r>
            <w:fldChar w:fldCharType="separate"/>
          </w:r>
          <w:r>
            <w:t>12</w:t>
          </w:r>
          <w:r>
            <w:fldChar w:fldCharType="end"/>
          </w:r>
          <w:r>
            <w:fldChar w:fldCharType="end"/>
          </w:r>
        </w:p>
        <w:p w14:paraId="01A6E140">
          <w:pPr>
            <w:pStyle w:val="8"/>
            <w:tabs>
              <w:tab w:val="right" w:leader="dot" w:pos="9637"/>
            </w:tabs>
          </w:pPr>
          <w:r>
            <w:fldChar w:fldCharType="begin"/>
          </w:r>
          <w:r>
            <w:instrText xml:space="preserve"> HYPERLINK \l _Toc7820 </w:instrText>
          </w:r>
          <w:r>
            <w:fldChar w:fldCharType="separate"/>
          </w:r>
          <w:r>
            <w:rPr>
              <w:rFonts w:hint="eastAsia" w:ascii="黑体" w:hAnsi="Times New Roman" w:eastAsia="黑体"/>
              <w:i w:val="0"/>
              <w:snapToGrid/>
              <w:spacing w:val="0"/>
              <w:w w:val="100"/>
              <w:kern w:val="21"/>
              <w:lang w:val="en-US" w:eastAsia="zh-CN"/>
            </w:rPr>
            <w:t xml:space="preserve">A.5 </w:t>
          </w:r>
          <w:r>
            <w:rPr>
              <w:rFonts w:hint="eastAsia"/>
              <w:lang w:val="en-US" w:eastAsia="zh-CN"/>
            </w:rPr>
            <w:t>静力水准仪类型选择表</w:t>
          </w:r>
          <w:r>
            <w:tab/>
          </w:r>
          <w:r>
            <w:fldChar w:fldCharType="begin"/>
          </w:r>
          <w:r>
            <w:instrText xml:space="preserve"> PAGEREF _Toc7820 \h </w:instrText>
          </w:r>
          <w:r>
            <w:fldChar w:fldCharType="separate"/>
          </w:r>
          <w:r>
            <w:t>12</w:t>
          </w:r>
          <w:r>
            <w:fldChar w:fldCharType="end"/>
          </w:r>
          <w:r>
            <w:fldChar w:fldCharType="end"/>
          </w:r>
        </w:p>
        <w:p w14:paraId="6C87D87D">
          <w:pPr>
            <w:pStyle w:val="8"/>
            <w:tabs>
              <w:tab w:val="right" w:leader="dot" w:pos="9637"/>
            </w:tabs>
          </w:pPr>
          <w:r>
            <w:fldChar w:fldCharType="begin"/>
          </w:r>
          <w:r>
            <w:instrText xml:space="preserve"> HYPERLINK \l _Toc30536 </w:instrText>
          </w:r>
          <w:r>
            <w:fldChar w:fldCharType="separate"/>
          </w:r>
          <w:r>
            <w:rPr>
              <w:rFonts w:hint="eastAsia" w:ascii="黑体" w:hAnsi="Times New Roman" w:eastAsia="黑体"/>
              <w:i w:val="0"/>
              <w:snapToGrid/>
              <w:spacing w:val="0"/>
              <w:w w:val="100"/>
              <w:kern w:val="21"/>
              <w:lang w:val="en-US" w:eastAsia="zh-CN"/>
            </w:rPr>
            <w:t xml:space="preserve">A.6 </w:t>
          </w:r>
          <w:r>
            <w:rPr>
              <w:rFonts w:hint="eastAsia"/>
              <w:lang w:val="en-US" w:eastAsia="zh-CN"/>
            </w:rPr>
            <w:t>常用静力水准仪液体性能参数表</w:t>
          </w:r>
          <w:r>
            <w:tab/>
          </w:r>
          <w:r>
            <w:fldChar w:fldCharType="begin"/>
          </w:r>
          <w:r>
            <w:instrText xml:space="preserve"> PAGEREF _Toc30536 \h </w:instrText>
          </w:r>
          <w:r>
            <w:fldChar w:fldCharType="separate"/>
          </w:r>
          <w:r>
            <w:t>13</w:t>
          </w:r>
          <w:r>
            <w:fldChar w:fldCharType="end"/>
          </w:r>
          <w:r>
            <w:fldChar w:fldCharType="end"/>
          </w:r>
        </w:p>
        <w:p w14:paraId="1BBF8996">
          <w:pPr>
            <w:pStyle w:val="8"/>
            <w:tabs>
              <w:tab w:val="right" w:leader="dot" w:pos="9637"/>
            </w:tabs>
          </w:pPr>
          <w:r>
            <w:fldChar w:fldCharType="begin"/>
          </w:r>
          <w:r>
            <w:instrText xml:space="preserve"> HYPERLINK \l _Toc26026 </w:instrText>
          </w:r>
          <w:r>
            <w:fldChar w:fldCharType="separate"/>
          </w:r>
          <w:r>
            <w:rPr>
              <w:rFonts w:hint="eastAsia" w:ascii="黑体" w:hAnsi="Times New Roman" w:eastAsia="黑体"/>
              <w:i w:val="0"/>
              <w:snapToGrid/>
              <w:spacing w:val="0"/>
              <w:w w:val="100"/>
              <w:kern w:val="21"/>
              <w:lang w:val="en-US" w:eastAsia="zh-CN"/>
            </w:rPr>
            <w:t xml:space="preserve">A.7 </w:t>
          </w:r>
          <w:r>
            <w:rPr>
              <w:rFonts w:hint="eastAsia"/>
            </w:rPr>
            <w:t>静力水准仪</w:t>
          </w:r>
          <w:r>
            <w:rPr>
              <w:rFonts w:hint="eastAsia"/>
              <w:lang w:val="en-US" w:eastAsia="zh-CN"/>
            </w:rPr>
            <w:t>试验方法示意图</w:t>
          </w:r>
          <w:r>
            <w:tab/>
          </w:r>
          <w:r>
            <w:fldChar w:fldCharType="begin"/>
          </w:r>
          <w:r>
            <w:instrText xml:space="preserve"> PAGEREF _Toc26026 \h </w:instrText>
          </w:r>
          <w:r>
            <w:fldChar w:fldCharType="separate"/>
          </w:r>
          <w:r>
            <w:t>14</w:t>
          </w:r>
          <w:r>
            <w:fldChar w:fldCharType="end"/>
          </w:r>
          <w:r>
            <w:fldChar w:fldCharType="end"/>
          </w:r>
        </w:p>
        <w:p w14:paraId="739E8416">
          <w:pPr>
            <w:pStyle w:val="8"/>
            <w:tabs>
              <w:tab w:val="right" w:leader="dot" w:pos="9637"/>
            </w:tabs>
          </w:pPr>
          <w:r>
            <w:fldChar w:fldCharType="begin"/>
          </w:r>
          <w:r>
            <w:instrText xml:space="preserve"> HYPERLINK \l _Toc1528 </w:instrText>
          </w:r>
          <w:r>
            <w:fldChar w:fldCharType="separate"/>
          </w:r>
          <w:r>
            <w:rPr>
              <w:rFonts w:hint="eastAsia" w:ascii="黑体" w:hAnsi="Times New Roman" w:eastAsia="黑体"/>
              <w:i w:val="0"/>
              <w:snapToGrid/>
              <w:spacing w:val="0"/>
              <w:w w:val="100"/>
              <w:kern w:val="21"/>
              <w:lang w:val="en-US" w:eastAsia="zh-CN"/>
            </w:rPr>
            <w:t xml:space="preserve">A.8 </w:t>
          </w:r>
          <w:r>
            <w:rPr>
              <w:rFonts w:hint="eastAsia"/>
            </w:rPr>
            <w:t>静力水准</w:t>
          </w:r>
          <w:r>
            <w:rPr>
              <w:rFonts w:hint="eastAsia"/>
              <w:lang w:val="en-US" w:eastAsia="zh-CN"/>
            </w:rPr>
            <w:t>系统</w:t>
          </w:r>
          <w:r>
            <w:rPr>
              <w:rFonts w:hint="eastAsia"/>
            </w:rPr>
            <w:t>保护形式安装示意图</w:t>
          </w:r>
          <w:r>
            <w:tab/>
          </w:r>
          <w:r>
            <w:fldChar w:fldCharType="begin"/>
          </w:r>
          <w:r>
            <w:instrText xml:space="preserve"> PAGEREF _Toc1528 \h </w:instrText>
          </w:r>
          <w:r>
            <w:fldChar w:fldCharType="separate"/>
          </w:r>
          <w:r>
            <w:t>15</w:t>
          </w:r>
          <w:r>
            <w:fldChar w:fldCharType="end"/>
          </w:r>
          <w:r>
            <w:fldChar w:fldCharType="end"/>
          </w:r>
        </w:p>
        <w:p w14:paraId="53D4B9A1">
          <w:pPr>
            <w:pStyle w:val="7"/>
            <w:tabs>
              <w:tab w:val="right" w:leader="dot" w:pos="9637"/>
            </w:tabs>
          </w:pPr>
          <w:r>
            <w:fldChar w:fldCharType="begin"/>
          </w:r>
          <w:r>
            <w:instrText xml:space="preserve"> HYPERLINK \l _Toc8989 </w:instrText>
          </w:r>
          <w:r>
            <w:fldChar w:fldCharType="separate"/>
          </w:r>
          <w:r>
            <w:rPr>
              <w:rFonts w:hint="eastAsia" w:ascii="黑体" w:hAnsi="Times New Roman" w:eastAsia="黑体" w:cs="Times New Roman"/>
              <w:i w:val="0"/>
              <w:spacing w:val="0"/>
              <w:w w:val="100"/>
            </w:rPr>
            <w:t xml:space="preserve">附　录　B </w:t>
          </w:r>
          <w:r>
            <w:rPr>
              <w:rFonts w:hint="eastAsia" w:hAnsi="Times New Roman" w:cs="Times New Roman"/>
            </w:rPr>
            <w:t xml:space="preserve"> （资料性附录） 监测报告编写提纲</w:t>
          </w:r>
          <w:r>
            <w:tab/>
          </w:r>
          <w:r>
            <w:fldChar w:fldCharType="begin"/>
          </w:r>
          <w:r>
            <w:instrText xml:space="preserve"> PAGEREF _Toc8989 \h </w:instrText>
          </w:r>
          <w:r>
            <w:fldChar w:fldCharType="separate"/>
          </w:r>
          <w:r>
            <w:t>17</w:t>
          </w:r>
          <w:r>
            <w:fldChar w:fldCharType="end"/>
          </w:r>
          <w:r>
            <w:fldChar w:fldCharType="end"/>
          </w:r>
        </w:p>
        <w:p w14:paraId="3E67CB25">
          <w:pPr>
            <w:pStyle w:val="8"/>
            <w:tabs>
              <w:tab w:val="right" w:leader="dot" w:pos="9637"/>
            </w:tabs>
          </w:pPr>
          <w:r>
            <w:fldChar w:fldCharType="begin"/>
          </w:r>
          <w:r>
            <w:instrText xml:space="preserve"> HYPERLINK \l _Toc20528 </w:instrText>
          </w:r>
          <w:r>
            <w:fldChar w:fldCharType="separate"/>
          </w:r>
          <w:r>
            <w:rPr>
              <w:rFonts w:hint="eastAsia" w:ascii="黑体" w:hAnsi="Times New Roman" w:eastAsia="黑体"/>
              <w:i w:val="0"/>
              <w:snapToGrid/>
              <w:spacing w:val="0"/>
              <w:w w:val="100"/>
              <w:kern w:val="21"/>
              <w:lang w:val="en-US" w:eastAsia="zh-CN"/>
            </w:rPr>
            <w:t xml:space="preserve">B.1 </w:t>
          </w:r>
          <w:r>
            <w:rPr>
              <w:rFonts w:hint="eastAsia"/>
              <w:lang w:val="en-US" w:eastAsia="zh-CN"/>
            </w:rPr>
            <w:t>封面</w:t>
          </w:r>
          <w:r>
            <w:tab/>
          </w:r>
          <w:r>
            <w:fldChar w:fldCharType="begin"/>
          </w:r>
          <w:r>
            <w:instrText xml:space="preserve"> PAGEREF _Toc20528 \h </w:instrText>
          </w:r>
          <w:r>
            <w:fldChar w:fldCharType="separate"/>
          </w:r>
          <w:r>
            <w:t>17</w:t>
          </w:r>
          <w:r>
            <w:fldChar w:fldCharType="end"/>
          </w:r>
          <w:r>
            <w:fldChar w:fldCharType="end"/>
          </w:r>
        </w:p>
        <w:p w14:paraId="2BA35FA4">
          <w:pPr>
            <w:pStyle w:val="8"/>
            <w:tabs>
              <w:tab w:val="right" w:leader="dot" w:pos="9637"/>
            </w:tabs>
          </w:pPr>
          <w:r>
            <w:fldChar w:fldCharType="begin"/>
          </w:r>
          <w:r>
            <w:instrText xml:space="preserve"> HYPERLINK \l _Toc32613 </w:instrText>
          </w:r>
          <w:r>
            <w:fldChar w:fldCharType="separate"/>
          </w:r>
          <w:r>
            <w:rPr>
              <w:rFonts w:hint="eastAsia" w:ascii="黑体" w:hAnsi="Times New Roman" w:eastAsia="黑体"/>
              <w:i w:val="0"/>
              <w:snapToGrid/>
              <w:spacing w:val="0"/>
              <w:w w:val="100"/>
              <w:kern w:val="21"/>
              <w:lang w:val="en-US" w:eastAsia="zh-CN"/>
            </w:rPr>
            <w:t xml:space="preserve">B.2 </w:t>
          </w:r>
          <w:r>
            <w:rPr>
              <w:rFonts w:hint="eastAsia"/>
              <w:lang w:val="en-US" w:eastAsia="zh-CN"/>
            </w:rPr>
            <w:t>目录</w:t>
          </w:r>
          <w:r>
            <w:tab/>
          </w:r>
          <w:r>
            <w:fldChar w:fldCharType="begin"/>
          </w:r>
          <w:r>
            <w:instrText xml:space="preserve"> PAGEREF _Toc32613 \h </w:instrText>
          </w:r>
          <w:r>
            <w:fldChar w:fldCharType="separate"/>
          </w:r>
          <w:r>
            <w:t>17</w:t>
          </w:r>
          <w:r>
            <w:fldChar w:fldCharType="end"/>
          </w:r>
          <w:r>
            <w:fldChar w:fldCharType="end"/>
          </w:r>
        </w:p>
        <w:p w14:paraId="23711CE3">
          <w:pPr>
            <w:pStyle w:val="8"/>
            <w:tabs>
              <w:tab w:val="right" w:leader="dot" w:pos="9637"/>
            </w:tabs>
          </w:pPr>
          <w:r>
            <w:fldChar w:fldCharType="begin"/>
          </w:r>
          <w:r>
            <w:instrText xml:space="preserve"> HYPERLINK \l _Toc17064 </w:instrText>
          </w:r>
          <w:r>
            <w:fldChar w:fldCharType="separate"/>
          </w:r>
          <w:r>
            <w:rPr>
              <w:rFonts w:hint="eastAsia" w:ascii="黑体" w:hAnsi="Times New Roman" w:eastAsia="黑体"/>
              <w:i w:val="0"/>
              <w:snapToGrid/>
              <w:spacing w:val="0"/>
              <w:w w:val="100"/>
              <w:kern w:val="21"/>
              <w:lang w:val="en-US" w:eastAsia="zh-CN"/>
            </w:rPr>
            <w:t xml:space="preserve">B.3 </w:t>
          </w:r>
          <w:r>
            <w:rPr>
              <w:rFonts w:hint="eastAsia"/>
              <w:lang w:val="en-US" w:eastAsia="zh-CN"/>
            </w:rPr>
            <w:t>概述</w:t>
          </w:r>
          <w:r>
            <w:tab/>
          </w:r>
          <w:r>
            <w:fldChar w:fldCharType="begin"/>
          </w:r>
          <w:r>
            <w:instrText xml:space="preserve"> PAGEREF _Toc17064 \h </w:instrText>
          </w:r>
          <w:r>
            <w:fldChar w:fldCharType="separate"/>
          </w:r>
          <w:r>
            <w:t>17</w:t>
          </w:r>
          <w:r>
            <w:fldChar w:fldCharType="end"/>
          </w:r>
          <w:r>
            <w:fldChar w:fldCharType="end"/>
          </w:r>
        </w:p>
        <w:p w14:paraId="688F67A5">
          <w:pPr>
            <w:pStyle w:val="8"/>
            <w:tabs>
              <w:tab w:val="right" w:leader="dot" w:pos="9637"/>
            </w:tabs>
          </w:pPr>
          <w:r>
            <w:fldChar w:fldCharType="begin"/>
          </w:r>
          <w:r>
            <w:instrText xml:space="preserve"> HYPERLINK \l _Toc27050 </w:instrText>
          </w:r>
          <w:r>
            <w:fldChar w:fldCharType="separate"/>
          </w:r>
          <w:r>
            <w:rPr>
              <w:rFonts w:hint="eastAsia" w:ascii="黑体" w:hAnsi="Times New Roman" w:eastAsia="黑体"/>
              <w:i w:val="0"/>
              <w:snapToGrid/>
              <w:spacing w:val="0"/>
              <w:w w:val="100"/>
              <w:kern w:val="21"/>
              <w:lang w:val="en-US" w:eastAsia="zh-CN"/>
            </w:rPr>
            <w:t xml:space="preserve">B.4 </w:t>
          </w:r>
          <w:r>
            <w:rPr>
              <w:rFonts w:hint="eastAsia"/>
              <w:lang w:val="en-US" w:eastAsia="zh-CN"/>
            </w:rPr>
            <w:t>现场与安装情况</w:t>
          </w:r>
          <w:r>
            <w:tab/>
          </w:r>
          <w:r>
            <w:fldChar w:fldCharType="begin"/>
          </w:r>
          <w:r>
            <w:instrText xml:space="preserve"> PAGEREF _Toc27050 \h </w:instrText>
          </w:r>
          <w:r>
            <w:fldChar w:fldCharType="separate"/>
          </w:r>
          <w:r>
            <w:t>17</w:t>
          </w:r>
          <w:r>
            <w:fldChar w:fldCharType="end"/>
          </w:r>
          <w:r>
            <w:fldChar w:fldCharType="end"/>
          </w:r>
        </w:p>
        <w:p w14:paraId="4E779C1C">
          <w:pPr>
            <w:pStyle w:val="8"/>
            <w:tabs>
              <w:tab w:val="right" w:leader="dot" w:pos="9637"/>
            </w:tabs>
          </w:pPr>
          <w:r>
            <w:fldChar w:fldCharType="begin"/>
          </w:r>
          <w:r>
            <w:instrText xml:space="preserve"> HYPERLINK \l _Toc14326 </w:instrText>
          </w:r>
          <w:r>
            <w:fldChar w:fldCharType="separate"/>
          </w:r>
          <w:r>
            <w:rPr>
              <w:rFonts w:hint="eastAsia" w:ascii="黑体" w:hAnsi="Times New Roman" w:eastAsia="黑体"/>
              <w:i w:val="0"/>
              <w:snapToGrid/>
              <w:spacing w:val="0"/>
              <w:w w:val="100"/>
              <w:kern w:val="21"/>
              <w:lang w:val="en-US" w:eastAsia="zh-CN"/>
            </w:rPr>
            <w:t xml:space="preserve">B.5 </w:t>
          </w:r>
          <w:r>
            <w:rPr>
              <w:rFonts w:hint="eastAsia"/>
              <w:lang w:val="en-US" w:eastAsia="zh-CN"/>
            </w:rPr>
            <w:t>调试与校准</w:t>
          </w:r>
          <w:r>
            <w:tab/>
          </w:r>
          <w:r>
            <w:fldChar w:fldCharType="begin"/>
          </w:r>
          <w:r>
            <w:instrText xml:space="preserve"> PAGEREF _Toc14326 \h </w:instrText>
          </w:r>
          <w:r>
            <w:fldChar w:fldCharType="separate"/>
          </w:r>
          <w:r>
            <w:t>17</w:t>
          </w:r>
          <w:r>
            <w:fldChar w:fldCharType="end"/>
          </w:r>
          <w:r>
            <w:fldChar w:fldCharType="end"/>
          </w:r>
        </w:p>
        <w:p w14:paraId="24E20480">
          <w:pPr>
            <w:pStyle w:val="8"/>
            <w:tabs>
              <w:tab w:val="right" w:leader="dot" w:pos="9637"/>
            </w:tabs>
          </w:pPr>
          <w:r>
            <w:fldChar w:fldCharType="begin"/>
          </w:r>
          <w:r>
            <w:instrText xml:space="preserve"> HYPERLINK \l _Toc521 </w:instrText>
          </w:r>
          <w:r>
            <w:fldChar w:fldCharType="separate"/>
          </w:r>
          <w:r>
            <w:rPr>
              <w:rFonts w:hint="eastAsia" w:ascii="黑体" w:hAnsi="Times New Roman" w:eastAsia="黑体"/>
              <w:i w:val="0"/>
              <w:snapToGrid/>
              <w:spacing w:val="0"/>
              <w:w w:val="100"/>
              <w:kern w:val="21"/>
              <w:lang w:val="en-US" w:eastAsia="zh-CN"/>
            </w:rPr>
            <w:t xml:space="preserve">B.6 </w:t>
          </w:r>
          <w:r>
            <w:rPr>
              <w:rFonts w:hint="eastAsia"/>
              <w:lang w:val="en-US" w:eastAsia="zh-CN"/>
            </w:rPr>
            <w:t>数据处理</w:t>
          </w:r>
          <w:r>
            <w:tab/>
          </w:r>
          <w:r>
            <w:fldChar w:fldCharType="begin"/>
          </w:r>
          <w:r>
            <w:instrText xml:space="preserve"> PAGEREF _Toc521 \h </w:instrText>
          </w:r>
          <w:r>
            <w:fldChar w:fldCharType="separate"/>
          </w:r>
          <w:r>
            <w:t>17</w:t>
          </w:r>
          <w:r>
            <w:fldChar w:fldCharType="end"/>
          </w:r>
          <w:r>
            <w:fldChar w:fldCharType="end"/>
          </w:r>
        </w:p>
        <w:p w14:paraId="5E0D9715">
          <w:pPr>
            <w:pStyle w:val="8"/>
            <w:tabs>
              <w:tab w:val="right" w:leader="dot" w:pos="9637"/>
            </w:tabs>
          </w:pPr>
          <w:r>
            <w:fldChar w:fldCharType="begin"/>
          </w:r>
          <w:r>
            <w:instrText xml:space="preserve"> HYPERLINK \l _Toc18458 </w:instrText>
          </w:r>
          <w:r>
            <w:fldChar w:fldCharType="separate"/>
          </w:r>
          <w:r>
            <w:rPr>
              <w:rFonts w:hint="eastAsia" w:ascii="黑体" w:hAnsi="Times New Roman" w:eastAsia="黑体"/>
              <w:i w:val="0"/>
              <w:snapToGrid/>
              <w:spacing w:val="0"/>
              <w:w w:val="100"/>
              <w:kern w:val="21"/>
              <w:lang w:val="en-US" w:eastAsia="zh-CN"/>
            </w:rPr>
            <w:t xml:space="preserve">B.7 </w:t>
          </w:r>
          <w:r>
            <w:rPr>
              <w:rFonts w:hint="eastAsia"/>
              <w:lang w:val="en-US" w:eastAsia="zh-CN"/>
            </w:rPr>
            <w:t>数据成果</w:t>
          </w:r>
          <w:r>
            <w:tab/>
          </w:r>
          <w:r>
            <w:fldChar w:fldCharType="begin"/>
          </w:r>
          <w:r>
            <w:instrText xml:space="preserve"> PAGEREF _Toc18458 \h </w:instrText>
          </w:r>
          <w:r>
            <w:fldChar w:fldCharType="separate"/>
          </w:r>
          <w:r>
            <w:t>17</w:t>
          </w:r>
          <w:r>
            <w:fldChar w:fldCharType="end"/>
          </w:r>
          <w:r>
            <w:fldChar w:fldCharType="end"/>
          </w:r>
        </w:p>
        <w:p w14:paraId="7F48E215">
          <w:pPr>
            <w:pStyle w:val="8"/>
            <w:tabs>
              <w:tab w:val="right" w:leader="dot" w:pos="9637"/>
            </w:tabs>
          </w:pPr>
          <w:r>
            <w:fldChar w:fldCharType="begin"/>
          </w:r>
          <w:r>
            <w:instrText xml:space="preserve"> HYPERLINK \l _Toc32632 </w:instrText>
          </w:r>
          <w:r>
            <w:fldChar w:fldCharType="separate"/>
          </w:r>
          <w:r>
            <w:rPr>
              <w:rFonts w:hint="eastAsia" w:ascii="黑体" w:hAnsi="Times New Roman" w:eastAsia="黑体"/>
              <w:i w:val="0"/>
              <w:snapToGrid/>
              <w:spacing w:val="0"/>
              <w:w w:val="100"/>
              <w:kern w:val="21"/>
              <w:lang w:val="en-US" w:eastAsia="zh-CN"/>
            </w:rPr>
            <w:t xml:space="preserve">B.8 </w:t>
          </w:r>
          <w:r>
            <w:rPr>
              <w:rFonts w:hint="eastAsia"/>
              <w:lang w:val="en-US" w:eastAsia="zh-CN"/>
            </w:rPr>
            <w:t>运行与维护</w:t>
          </w:r>
          <w:r>
            <w:tab/>
          </w:r>
          <w:r>
            <w:fldChar w:fldCharType="begin"/>
          </w:r>
          <w:r>
            <w:instrText xml:space="preserve"> PAGEREF _Toc32632 \h </w:instrText>
          </w:r>
          <w:r>
            <w:fldChar w:fldCharType="separate"/>
          </w:r>
          <w:r>
            <w:t>17</w:t>
          </w:r>
          <w:r>
            <w:fldChar w:fldCharType="end"/>
          </w:r>
          <w:r>
            <w:fldChar w:fldCharType="end"/>
          </w:r>
        </w:p>
        <w:p w14:paraId="7FABEA7E">
          <w:pPr>
            <w:pStyle w:val="8"/>
            <w:tabs>
              <w:tab w:val="right" w:leader="dot" w:pos="9637"/>
            </w:tabs>
          </w:pPr>
          <w:r>
            <w:fldChar w:fldCharType="begin"/>
          </w:r>
          <w:r>
            <w:instrText xml:space="preserve"> HYPERLINK \l _Toc6495 </w:instrText>
          </w:r>
          <w:r>
            <w:fldChar w:fldCharType="separate"/>
          </w:r>
          <w:r>
            <w:rPr>
              <w:rFonts w:hint="eastAsia" w:ascii="黑体" w:hAnsi="Times New Roman" w:eastAsia="黑体"/>
              <w:i w:val="0"/>
              <w:snapToGrid/>
              <w:spacing w:val="0"/>
              <w:w w:val="100"/>
              <w:kern w:val="21"/>
              <w:lang w:val="en-US" w:eastAsia="zh-CN"/>
            </w:rPr>
            <w:t xml:space="preserve">B.9 </w:t>
          </w:r>
          <w:r>
            <w:rPr>
              <w:rFonts w:hint="eastAsia"/>
              <w:lang w:val="en-US" w:eastAsia="zh-CN"/>
            </w:rPr>
            <w:t>质量评价</w:t>
          </w:r>
          <w:r>
            <w:tab/>
          </w:r>
          <w:r>
            <w:fldChar w:fldCharType="begin"/>
          </w:r>
          <w:r>
            <w:instrText xml:space="preserve"> PAGEREF _Toc6495 \h </w:instrText>
          </w:r>
          <w:r>
            <w:fldChar w:fldCharType="separate"/>
          </w:r>
          <w:r>
            <w:t>17</w:t>
          </w:r>
          <w:r>
            <w:fldChar w:fldCharType="end"/>
          </w:r>
          <w:r>
            <w:fldChar w:fldCharType="end"/>
          </w:r>
        </w:p>
        <w:p w14:paraId="20A88DE3">
          <w:pPr>
            <w:pStyle w:val="8"/>
            <w:tabs>
              <w:tab w:val="right" w:leader="dot" w:pos="9637"/>
            </w:tabs>
          </w:pPr>
          <w:r>
            <w:fldChar w:fldCharType="begin"/>
          </w:r>
          <w:r>
            <w:instrText xml:space="preserve"> HYPERLINK \l _Toc13717 </w:instrText>
          </w:r>
          <w:r>
            <w:fldChar w:fldCharType="separate"/>
          </w:r>
          <w:r>
            <w:rPr>
              <w:rFonts w:hint="eastAsia" w:ascii="黑体" w:hAnsi="Times New Roman" w:eastAsia="黑体"/>
              <w:i w:val="0"/>
              <w:snapToGrid/>
              <w:spacing w:val="0"/>
              <w:w w:val="100"/>
              <w:kern w:val="21"/>
              <w:lang w:val="en-US" w:eastAsia="zh-CN"/>
            </w:rPr>
            <w:t xml:space="preserve">B.10 </w:t>
          </w:r>
          <w:r>
            <w:rPr>
              <w:rFonts w:hint="eastAsia"/>
              <w:lang w:val="en-US" w:eastAsia="zh-CN"/>
            </w:rPr>
            <w:t>结论与建议</w:t>
          </w:r>
          <w:r>
            <w:tab/>
          </w:r>
          <w:r>
            <w:fldChar w:fldCharType="begin"/>
          </w:r>
          <w:r>
            <w:instrText xml:space="preserve"> PAGEREF _Toc13717 \h </w:instrText>
          </w:r>
          <w:r>
            <w:fldChar w:fldCharType="separate"/>
          </w:r>
          <w:r>
            <w:t>17</w:t>
          </w:r>
          <w:r>
            <w:fldChar w:fldCharType="end"/>
          </w:r>
          <w:r>
            <w:fldChar w:fldCharType="end"/>
          </w:r>
        </w:p>
        <w:p w14:paraId="754FFAA0">
          <w:pPr>
            <w:pStyle w:val="8"/>
            <w:tabs>
              <w:tab w:val="right" w:leader="dot" w:pos="9637"/>
            </w:tabs>
          </w:pPr>
          <w:r>
            <w:fldChar w:fldCharType="begin"/>
          </w:r>
          <w:r>
            <w:instrText xml:space="preserve"> HYPERLINK \l _Toc25955 </w:instrText>
          </w:r>
          <w:r>
            <w:fldChar w:fldCharType="separate"/>
          </w:r>
          <w:r>
            <w:rPr>
              <w:rFonts w:hint="eastAsia" w:ascii="黑体" w:hAnsi="Times New Roman" w:eastAsia="黑体" w:cs="Times New Roman"/>
              <w:i w:val="0"/>
              <w:snapToGrid/>
              <w:spacing w:val="0"/>
              <w:w w:val="100"/>
              <w:kern w:val="21"/>
              <w:lang w:val="en-US" w:eastAsia="zh-CN"/>
            </w:rPr>
            <w:t xml:space="preserve">B.11 </w:t>
          </w:r>
          <w:r>
            <w:rPr>
              <w:rFonts w:hint="eastAsia"/>
              <w:lang w:val="en-US" w:eastAsia="zh-CN"/>
            </w:rPr>
            <w:t>附件</w:t>
          </w:r>
          <w:r>
            <w:tab/>
          </w:r>
          <w:r>
            <w:fldChar w:fldCharType="begin"/>
          </w:r>
          <w:r>
            <w:instrText xml:space="preserve"> PAGEREF _Toc25955 \h </w:instrText>
          </w:r>
          <w:r>
            <w:fldChar w:fldCharType="separate"/>
          </w:r>
          <w:r>
            <w:t>18</w:t>
          </w:r>
          <w:r>
            <w:fldChar w:fldCharType="end"/>
          </w:r>
          <w:r>
            <w:fldChar w:fldCharType="end"/>
          </w:r>
        </w:p>
        <w:p w14:paraId="22975649">
          <w:pPr>
            <w:spacing w:before="0" w:beforeLines="0" w:after="0" w:afterLines="0" w:line="240" w:lineRule="auto"/>
            <w:ind w:left="0" w:leftChars="0" w:right="0" w:rightChars="0" w:firstLine="0" w:firstLineChars="0"/>
            <w:jc w:val="left"/>
          </w:pPr>
          <w:r>
            <w:fldChar w:fldCharType="end"/>
          </w:r>
        </w:p>
      </w:sdtContent>
    </w:sdt>
    <w:p w14:paraId="45BA0142"/>
    <w:p w14:paraId="3C682A2A">
      <w:pPr>
        <w:pStyle w:val="29"/>
        <w:shd w:val="clear" w:color="FFFFFF" w:fill="FFFFFF"/>
        <w:rPr>
          <w:rFonts w:hint="eastAsia" w:hAnsi="黑体" w:cs="Times New Roman"/>
        </w:rPr>
        <w:sectPr>
          <w:footerReference r:id="rId13" w:type="first"/>
          <w:headerReference r:id="rId9" w:type="default"/>
          <w:footerReference r:id="rId11" w:type="default"/>
          <w:headerReference r:id="rId10" w:type="even"/>
          <w:footerReference r:id="rId12" w:type="even"/>
          <w:footnotePr>
            <w:numFmt w:val="decimal"/>
          </w:footnotePr>
          <w:pgSz w:w="11905" w:h="16838"/>
          <w:pgMar w:top="567" w:right="1134" w:bottom="1134" w:left="1134" w:header="1417" w:footer="1134" w:gutter="0"/>
          <w:pgNumType w:fmt="upperRoman" w:start="1"/>
          <w:cols w:space="0" w:num="1"/>
          <w:rtlGutter w:val="0"/>
          <w:docGrid w:type="lines" w:linePitch="315" w:charSpace="0"/>
        </w:sectPr>
      </w:pPr>
    </w:p>
    <w:p w14:paraId="7AF26EAC">
      <w:pPr>
        <w:pStyle w:val="29"/>
        <w:shd w:val="clear" w:color="FFFFFF" w:fill="FFFFFF"/>
        <w:rPr>
          <w:rFonts w:hint="eastAsia" w:hAnsi="Times New Roman" w:cs="Times New Roman"/>
        </w:rPr>
      </w:pPr>
      <w:bookmarkStart w:id="12" w:name="_Toc32333"/>
      <w:bookmarkStart w:id="13" w:name="_Toc5772"/>
      <w:bookmarkStart w:id="14" w:name="_Toc30786"/>
      <w:r>
        <w:rPr>
          <w:rFonts w:hint="eastAsia" w:hAnsi="Times New Roman" w:cs="Times New Roman"/>
        </w:rPr>
        <w:t>前</w:t>
      </w:r>
      <w:bookmarkStart w:id="15" w:name="BKQY"/>
      <w:r>
        <w:rPr>
          <w:rFonts w:hint="eastAsia" w:hAnsi="Times New Roman" w:cs="Times New Roman"/>
        </w:rPr>
        <w:t>  言</w:t>
      </w:r>
      <w:bookmarkEnd w:id="12"/>
      <w:bookmarkEnd w:id="13"/>
      <w:bookmarkEnd w:id="14"/>
      <w:bookmarkEnd w:id="15"/>
    </w:p>
    <w:p w14:paraId="64F65E7E">
      <w:pPr>
        <w:pStyle w:val="30"/>
        <w:rPr>
          <w:rFonts w:hint="eastAsia" w:hAnsi="Times New Roman" w:cs="Times New Roman"/>
        </w:rPr>
      </w:pPr>
      <w:r>
        <w:rPr>
          <w:rFonts w:hint="eastAsia" w:hAnsi="Times New Roman" w:cs="Times New Roman"/>
        </w:rPr>
        <w:t>本文件按照GB/T 1.1—2020《标准化工作导则</w:t>
      </w:r>
      <w:r>
        <w:rPr>
          <w:rFonts w:hint="eastAsia" w:cs="Times New Roman"/>
          <w:lang w:val="en-US" w:eastAsia="zh-CN"/>
        </w:rPr>
        <w:t xml:space="preserve"> </w:t>
      </w:r>
      <w:r>
        <w:rPr>
          <w:rFonts w:hint="eastAsia" w:hAnsi="Times New Roman" w:cs="Times New Roman"/>
        </w:rPr>
        <w:t>第1部分：标准化文件的结构和起草规则》的规定起草。</w:t>
      </w:r>
    </w:p>
    <w:p w14:paraId="3E2BF55B">
      <w:pPr>
        <w:pStyle w:val="30"/>
        <w:rPr>
          <w:rFonts w:hint="eastAsia" w:hAnsi="Times New Roman" w:cs="Times New Roman"/>
        </w:rPr>
      </w:pPr>
      <w:r>
        <w:rPr>
          <w:rFonts w:hint="eastAsia" w:hAnsi="Times New Roman" w:cs="Times New Roman"/>
        </w:rPr>
        <w:t>本文件由中国地质灾害防治与生态修复协会提出并归口。</w:t>
      </w:r>
    </w:p>
    <w:p w14:paraId="284B63AA">
      <w:pPr>
        <w:pStyle w:val="30"/>
        <w:rPr>
          <w:rFonts w:hint="eastAsia" w:hAnsi="Times New Roman" w:cs="Times New Roman"/>
        </w:rPr>
      </w:pPr>
      <w:r>
        <w:rPr>
          <w:rFonts w:hint="eastAsia" w:hAnsi="Times New Roman" w:cs="Times New Roman"/>
        </w:rPr>
        <w:t>本文件起草单位</w:t>
      </w:r>
      <w:r>
        <w:rPr>
          <w:rFonts w:hint="eastAsia" w:hAnsi="Times New Roman" w:cs="Times New Roman"/>
          <w:lang w:eastAsia="zh-CN"/>
        </w:rPr>
        <w:t>：</w:t>
      </w:r>
      <w:r>
        <w:rPr>
          <w:rFonts w:hint="eastAsia" w:hAnsi="Times New Roman" w:cs="Times New Roman"/>
        </w:rPr>
        <w:t>深圳市北斗云信息技术有限公司，河北省地质矿产勘查开发局第三水文工程地质大队（河北省地热资源开发研究所），河南省自然资源监测和国土整治院，北京市地质环境监测所，辽宁省地质环境监测总站（辽宁省地质灾害应急中心），海南省地质环境监测总站，新疆维吾尔自治区地质环境监测研究院，河北省地质矿产勘查开发局第四水文工程地质大队（河北省地面沉降监测预警防治中心），</w:t>
      </w:r>
      <w:r>
        <w:rPr>
          <w:rFonts w:hint="eastAsia" w:hAnsi="Times New Roman" w:cs="Times New Roman"/>
          <w:lang w:eastAsia="zh-CN"/>
        </w:rPr>
        <w:t>广东省地质局佛山地质调查中心（广东省佛山地质灾害应急抢险技术中心）</w:t>
      </w:r>
      <w:r>
        <w:rPr>
          <w:rFonts w:hint="eastAsia" w:hAnsi="Times New Roman" w:cs="Times New Roman"/>
        </w:rPr>
        <w:t>，河北省地质环境监测院，河南省地质局生态环境地质服务中心。</w:t>
      </w:r>
    </w:p>
    <w:p w14:paraId="43F11EE1">
      <w:pPr>
        <w:pStyle w:val="30"/>
        <w:rPr>
          <w:rFonts w:hint="eastAsia" w:hAnsi="Times New Roman" w:cs="Times New Roman"/>
          <w:lang w:val="en-US" w:eastAsia="zh-CN"/>
        </w:rPr>
      </w:pPr>
      <w:r>
        <w:rPr>
          <w:rFonts w:hint="eastAsia" w:hAnsi="Times New Roman" w:cs="Times New Roman"/>
        </w:rPr>
        <w:t>本文件主要起草人</w:t>
      </w:r>
      <w:r>
        <w:rPr>
          <w:rFonts w:hint="eastAsia" w:hAnsi="Times New Roman" w:cs="Times New Roman"/>
          <w:lang w:eastAsia="zh-CN"/>
        </w:rPr>
        <w:t>：</w:t>
      </w:r>
      <w:r>
        <w:rPr>
          <w:rFonts w:hint="eastAsia" w:hAnsi="Times New Roman" w:cs="Times New Roman"/>
        </w:rPr>
        <w:t>李慧生，</w:t>
      </w:r>
      <w:r>
        <w:rPr>
          <w:rFonts w:hint="eastAsia" w:cs="Times New Roman"/>
          <w:lang w:val="en-US" w:eastAsia="zh-CN"/>
        </w:rPr>
        <w:t>赵建青</w:t>
      </w:r>
      <w:r>
        <w:rPr>
          <w:rFonts w:hint="eastAsia" w:hAnsi="Times New Roman" w:cs="Times New Roman"/>
        </w:rPr>
        <w:t>，徐郅杰，雷坤超，李杨</w:t>
      </w:r>
      <w:r>
        <w:rPr>
          <w:rFonts w:hint="eastAsia" w:cs="Times New Roman"/>
          <w:lang w:val="en-US" w:eastAsia="zh-CN"/>
        </w:rPr>
        <w:t>，</w:t>
      </w:r>
      <w:r>
        <w:rPr>
          <w:rFonts w:hint="eastAsia" w:hAnsi="Times New Roman" w:cs="Times New Roman"/>
        </w:rPr>
        <w:t>唐永亮，杨明明，陈静，田小伟，景龙，易守勇，高鹏程，张进才，曾令海，赵青霞，</w:t>
      </w:r>
      <w:r>
        <w:rPr>
          <w:rFonts w:hint="eastAsia" w:hAnsi="Times New Roman" w:cs="Times New Roman"/>
          <w:lang w:eastAsia="zh-CN"/>
        </w:rPr>
        <w:t>闫亚鹏</w:t>
      </w:r>
      <w:r>
        <w:rPr>
          <w:rFonts w:hint="eastAsia" w:hAnsi="Times New Roman" w:cs="Times New Roman"/>
        </w:rPr>
        <w:t>，王刚，</w:t>
      </w:r>
      <w:r>
        <w:rPr>
          <w:rFonts w:hint="eastAsia" w:hAnsi="Times New Roman" w:cs="Times New Roman"/>
          <w:lang w:eastAsia="zh-CN"/>
        </w:rPr>
        <w:t>贾雁杰</w:t>
      </w:r>
      <w:r>
        <w:rPr>
          <w:rFonts w:hint="eastAsia" w:hAnsi="Times New Roman" w:cs="Times New Roman"/>
        </w:rPr>
        <w:t>，李柯含</w:t>
      </w:r>
      <w:r>
        <w:rPr>
          <w:rFonts w:hint="eastAsia" w:hAnsi="Times New Roman" w:cs="Times New Roman"/>
          <w:lang w:eastAsia="zh-CN"/>
        </w:rPr>
        <w:t>，</w:t>
      </w:r>
      <w:r>
        <w:rPr>
          <w:rFonts w:hint="eastAsia" w:hAnsi="Times New Roman" w:cs="Times New Roman"/>
        </w:rPr>
        <w:t>彭博，郑之凯，段雄德</w:t>
      </w:r>
      <w:r>
        <w:rPr>
          <w:rFonts w:hint="eastAsia" w:cs="Times New Roman"/>
          <w:lang w:eastAsia="zh-CN"/>
        </w:rPr>
        <w:t>，</w:t>
      </w:r>
      <w:r>
        <w:rPr>
          <w:rFonts w:hint="eastAsia" w:cs="Times New Roman"/>
          <w:lang w:val="en-US" w:eastAsia="zh-CN"/>
        </w:rPr>
        <w:t>王建顺，李亚会</w:t>
      </w:r>
      <w:r>
        <w:rPr>
          <w:rFonts w:hint="default" w:hAnsi="Times New Roman" w:cs="Times New Roman"/>
          <w:lang w:val="en-US" w:eastAsia="zh-CN"/>
        </w:rPr>
        <w:t>。</w:t>
      </w:r>
    </w:p>
    <w:p w14:paraId="33550D8D">
      <w:pPr>
        <w:keepNext w:val="0"/>
        <w:keepLines w:val="0"/>
        <w:pageBreakBefore w:val="0"/>
        <w:kinsoku/>
        <w:wordWrap/>
        <w:overflowPunct/>
        <w:topLinePunct w:val="0"/>
        <w:bidi w:val="0"/>
        <w:adjustRightInd w:val="0"/>
        <w:snapToGrid w:val="0"/>
        <w:textAlignment w:val="auto"/>
        <w:outlineLvl w:val="9"/>
        <w:rPr>
          <w:rFonts w:hint="default"/>
          <w:lang w:val="en-US" w:eastAsia="zh-CN"/>
        </w:rPr>
      </w:pPr>
      <w:r>
        <w:rPr>
          <w:rFonts w:hint="default"/>
          <w:lang w:val="en-US" w:eastAsia="zh-CN"/>
        </w:rPr>
        <w:br w:type="page"/>
      </w:r>
      <w:bookmarkStart w:id="202" w:name="_GoBack"/>
      <w:bookmarkEnd w:id="202"/>
    </w:p>
    <w:p w14:paraId="2F696E27">
      <w:pPr>
        <w:pStyle w:val="29"/>
        <w:shd w:val="clear" w:color="FFFFFF" w:fill="FFFFFF"/>
        <w:rPr>
          <w:rFonts w:hint="eastAsia" w:hAnsi="Times New Roman" w:cs="Times New Roman"/>
        </w:rPr>
      </w:pPr>
      <w:bookmarkStart w:id="16" w:name="_Toc6143"/>
      <w:bookmarkStart w:id="17" w:name="_Toc19125"/>
      <w:bookmarkStart w:id="18" w:name="_Toc8058"/>
      <w:r>
        <w:rPr>
          <w:rFonts w:hint="eastAsia" w:hAnsi="Times New Roman" w:cs="Times New Roman"/>
        </w:rPr>
        <w:t>引  言</w:t>
      </w:r>
      <w:bookmarkEnd w:id="16"/>
      <w:bookmarkEnd w:id="17"/>
      <w:bookmarkEnd w:id="18"/>
    </w:p>
    <w:p w14:paraId="286662F8">
      <w:pPr>
        <w:pStyle w:val="30"/>
        <w:rPr>
          <w:rFonts w:hint="eastAsia" w:hAnsi="Times New Roman" w:cs="Times New Roman"/>
          <w:lang w:val="en-US" w:eastAsia="zh-CN"/>
        </w:rPr>
      </w:pPr>
      <w:r>
        <w:rPr>
          <w:rFonts w:hint="eastAsia" w:hAnsi="Times New Roman" w:cs="Times New Roman"/>
          <w:lang w:val="en-US" w:eastAsia="zh-CN"/>
        </w:rPr>
        <w:t>我国是地面沉降灾害最严重的国家之一，近年来国家高度重视地面沉降问题，开展了较为广泛的长期观测、科学研究和危害治理；基于SAR卫星数据解译、地面水准测量、分层标的地面沉降监测已经在全国陆续开展。但针对分层标组静力水准系统建设相关技术规范尚不完善。</w:t>
      </w:r>
    </w:p>
    <w:p w14:paraId="58C7153A">
      <w:pPr>
        <w:pStyle w:val="30"/>
        <w:rPr>
          <w:rFonts w:hint="default" w:hAnsi="Times New Roman" w:cs="Times New Roman"/>
          <w:lang w:val="en-US" w:eastAsia="zh-CN"/>
        </w:rPr>
      </w:pPr>
      <w:r>
        <w:rPr>
          <w:rFonts w:hint="eastAsia" w:hAnsi="Times New Roman" w:cs="Times New Roman"/>
          <w:lang w:val="en-US" w:eastAsia="zh-CN"/>
        </w:rPr>
        <w:t>本文件基于国内地面沉降监测领域长期的工程实践与技术积累，整合了静力水准自动化监测领域成熟、适用的技术方法，相关技术已在我国不同气候、不同地质条件区域的地面沉降监测工程中广泛实施，技术体系成熟可靠。</w:t>
      </w:r>
    </w:p>
    <w:p w14:paraId="3F1D36AC">
      <w:pPr>
        <w:pStyle w:val="30"/>
        <w:rPr>
          <w:rFonts w:hint="eastAsia" w:hAnsi="Times New Roman" w:cs="Times New Roman"/>
          <w:lang w:val="en-US" w:eastAsia="zh-CN"/>
        </w:rPr>
      </w:pPr>
      <w:r>
        <w:rPr>
          <w:rFonts w:hint="eastAsia" w:hAnsi="Times New Roman" w:cs="Times New Roman"/>
          <w:lang w:val="en-US" w:eastAsia="zh-CN"/>
        </w:rPr>
        <w:t>本文件针对地面沉降精细化监测需求，统一分层标组静力水准监测系统的设计、安装、调试、运行维护、数据处理及成果分析等环节的技术要求，规范监测设施建设与运维</w:t>
      </w:r>
      <w:r>
        <w:rPr>
          <w:rFonts w:hint="eastAsia" w:hAnsi="Times New Roman" w:cs="Times New Roman"/>
          <w:lang w:val="en-US"/>
        </w:rPr>
        <w:t>流程，保障监测数据的长期性、连续性、可靠性与准确性，为地面沉降机理研究、风险评估与防治决策提供标准化技术支撑。</w:t>
      </w:r>
    </w:p>
    <w:p w14:paraId="6FCB94B5">
      <w:pPr>
        <w:pStyle w:val="30"/>
        <w:rPr>
          <w:rFonts w:hint="default" w:hAnsi="Times New Roman" w:cs="Times New Roman"/>
          <w:lang w:val="en-US" w:eastAsia="zh-CN"/>
        </w:rPr>
        <w:sectPr>
          <w:headerReference r:id="rId14" w:type="default"/>
          <w:footerReference r:id="rId16" w:type="default"/>
          <w:headerReference r:id="rId15" w:type="even"/>
          <w:footerReference r:id="rId17" w:type="even"/>
          <w:footnotePr>
            <w:numFmt w:val="decimal"/>
          </w:footnotePr>
          <w:type w:val="continuous"/>
          <w:pgSz w:w="11905" w:h="16838"/>
          <w:pgMar w:top="567" w:right="1134" w:bottom="1134" w:left="1134" w:header="1417" w:footer="1134" w:gutter="0"/>
          <w:pgNumType w:fmt="upperRoman" w:start="3"/>
          <w:cols w:space="0" w:num="1"/>
          <w:rtlGutter w:val="0"/>
          <w:docGrid w:type="lines" w:linePitch="315" w:charSpace="0"/>
        </w:sectPr>
      </w:pPr>
    </w:p>
    <w:p w14:paraId="1828DD12">
      <w:pPr>
        <w:keepNext w:val="0"/>
        <w:keepLines w:val="0"/>
        <w:pageBreakBefore w:val="0"/>
        <w:kinsoku/>
        <w:wordWrap/>
        <w:overflowPunct/>
        <w:topLinePunct w:val="0"/>
        <w:bidi w:val="0"/>
        <w:adjustRightInd w:val="0"/>
        <w:snapToGrid w:val="0"/>
        <w:textAlignment w:val="auto"/>
        <w:outlineLvl w:val="9"/>
        <w:rPr>
          <w:rFonts w:hint="default"/>
          <w:lang w:val="en-US" w:eastAsia="zh-CN"/>
        </w:rPr>
      </w:pPr>
      <w:r>
        <w:rPr>
          <w:rFonts w:hint="default"/>
          <w:lang w:val="en-US" w:eastAsia="zh-CN"/>
        </w:rPr>
        <w:br w:type="page"/>
      </w:r>
    </w:p>
    <w:p w14:paraId="4C43DA04">
      <w:pPr>
        <w:pStyle w:val="30"/>
        <w:keepNext w:val="0"/>
        <w:keepLines w:val="0"/>
        <w:pageBreakBefore w:val="0"/>
        <w:kinsoku/>
        <w:wordWrap/>
        <w:overflowPunct/>
        <w:topLinePunct w:val="0"/>
        <w:bidi w:val="0"/>
        <w:adjustRightInd w:val="0"/>
        <w:snapToGrid w:val="0"/>
        <w:spacing w:line="360" w:lineRule="auto"/>
        <w:textAlignment w:val="auto"/>
        <w:outlineLvl w:val="9"/>
        <w:rPr>
          <w:rFonts w:hint="default"/>
          <w:lang w:val="en-US" w:eastAsia="zh-CN"/>
        </w:rPr>
        <w:sectPr>
          <w:headerReference r:id="rId18" w:type="default"/>
          <w:footerReference r:id="rId19" w:type="default"/>
          <w:footnotePr>
            <w:numFmt w:val="decimal"/>
          </w:footnotePr>
          <w:type w:val="continuous"/>
          <w:pgSz w:w="11905" w:h="16838"/>
          <w:pgMar w:top="567" w:right="1134" w:bottom="1134" w:left="1134" w:header="1417" w:footer="1134" w:gutter="0"/>
          <w:pgNumType w:fmt="upperRoman"/>
          <w:cols w:space="0" w:num="1"/>
          <w:rtlGutter w:val="0"/>
          <w:docGrid w:type="lines" w:linePitch="315" w:charSpace="0"/>
        </w:sectPr>
      </w:pPr>
    </w:p>
    <w:p w14:paraId="6E7C22E4">
      <w:pPr>
        <w:pStyle w:val="31"/>
        <w:shd w:val="clear" w:color="FFFFFF" w:fill="FFFFFF"/>
        <w:rPr>
          <w:rFonts w:hint="eastAsia" w:hAnsi="Times New Roman" w:cs="Times New Roman"/>
        </w:rPr>
      </w:pPr>
      <w:bookmarkStart w:id="19" w:name="_Toc31470"/>
      <w:r>
        <w:rPr>
          <w:rFonts w:hint="eastAsia" w:hAnsi="Times New Roman" w:cs="Times New Roman"/>
        </w:rPr>
        <w:t>地面沉降静力水准监测技术规范</w:t>
      </w:r>
      <w:bookmarkEnd w:id="19"/>
    </w:p>
    <w:p w14:paraId="09801326">
      <w:pPr>
        <w:pStyle w:val="35"/>
        <w:rPr>
          <w:rFonts w:hint="eastAsia" w:hAnsi="Times New Roman" w:cs="Times New Roman"/>
          <w:lang w:val="en-US" w:eastAsia="zh-CN"/>
        </w:rPr>
      </w:pPr>
      <w:bookmarkStart w:id="20" w:name="_Toc27191"/>
      <w:bookmarkStart w:id="21" w:name="_Toc9454"/>
      <w:bookmarkStart w:id="22" w:name="_Toc24266"/>
      <w:bookmarkStart w:id="23" w:name="_Toc27453"/>
      <w:r>
        <w:rPr>
          <w:rFonts w:hint="eastAsia" w:hAnsi="Times New Roman" w:cs="Times New Roman"/>
          <w:lang w:val="en-US" w:eastAsia="zh-CN"/>
        </w:rPr>
        <w:t>范围</w:t>
      </w:r>
      <w:bookmarkEnd w:id="20"/>
      <w:bookmarkEnd w:id="21"/>
      <w:bookmarkEnd w:id="22"/>
      <w:bookmarkEnd w:id="23"/>
    </w:p>
    <w:p w14:paraId="1C7CD0D6">
      <w:pPr>
        <w:pStyle w:val="30"/>
        <w:rPr>
          <w:rFonts w:hint="eastAsia" w:hAnsi="Times New Roman" w:cs="Times New Roman"/>
          <w:lang w:val="en-US" w:eastAsia="zh-CN"/>
        </w:rPr>
      </w:pPr>
      <w:r>
        <w:rPr>
          <w:rFonts w:hint="eastAsia" w:hAnsi="Times New Roman" w:cs="Times New Roman"/>
          <w:lang w:val="en-US" w:eastAsia="zh-CN"/>
        </w:rPr>
        <w:t>本文件规定了地面沉降分层标组静力水准系统安装及数据处理技术的静力水准监测系统设计、仪器安装与测试、数据处理、运行管理与维护的技术要求。</w:t>
      </w:r>
    </w:p>
    <w:p w14:paraId="79967516">
      <w:pPr>
        <w:pStyle w:val="30"/>
        <w:rPr>
          <w:rFonts w:hint="eastAsia" w:hAnsi="Times New Roman" w:cs="Times New Roman"/>
          <w:lang w:val="en-US" w:eastAsia="zh-CN"/>
        </w:rPr>
      </w:pPr>
      <w:r>
        <w:rPr>
          <w:rFonts w:hint="eastAsia" w:hAnsi="Times New Roman" w:cs="Times New Roman"/>
          <w:lang w:val="en-US" w:eastAsia="zh-CN"/>
        </w:rPr>
        <w:t>本文件适用于地面沉降分层标组静力水准系统安装、维护及数据处理系统的建设。</w:t>
      </w:r>
    </w:p>
    <w:p w14:paraId="554812CA">
      <w:pPr>
        <w:pStyle w:val="35"/>
        <w:rPr>
          <w:rFonts w:hint="eastAsia" w:hAnsi="Times New Roman" w:cs="Times New Roman"/>
          <w:lang w:val="en-US" w:eastAsia="zh-CN"/>
        </w:rPr>
      </w:pPr>
      <w:bookmarkStart w:id="24" w:name="_Toc6736"/>
      <w:bookmarkStart w:id="25" w:name="_Toc11585"/>
      <w:bookmarkStart w:id="26" w:name="_Toc5134"/>
      <w:bookmarkStart w:id="27" w:name="_Toc8750"/>
      <w:r>
        <w:rPr>
          <w:rFonts w:hint="eastAsia" w:hAnsi="Times New Roman" w:cs="Times New Roman"/>
          <w:lang w:val="en-US" w:eastAsia="zh-CN"/>
        </w:rPr>
        <w:t>规范性引用文件</w:t>
      </w:r>
      <w:bookmarkEnd w:id="24"/>
      <w:bookmarkEnd w:id="25"/>
      <w:bookmarkEnd w:id="26"/>
      <w:bookmarkEnd w:id="27"/>
    </w:p>
    <w:p w14:paraId="481AB330">
      <w:pPr>
        <w:pStyle w:val="30"/>
        <w:rPr>
          <w:rFonts w:hint="eastAsia" w:hAnsi="Times New Roman" w:cs="Times New Roman"/>
          <w:color w:val="auto"/>
          <w:lang w:val="en-US" w:eastAsia="zh-CN"/>
        </w:rPr>
      </w:pPr>
      <w:r>
        <w:rPr>
          <w:rFonts w:hint="eastAsia" w:hAnsi="Times New Roman" w:cs="Times New Roman"/>
          <w:color w:val="auto"/>
          <w:lang w:val="en-US" w:eastAsia="zh-CN"/>
        </w:rPr>
        <w:t>下列文件中的内容通过文中的规范性引用而构成本文件必不可少的条款。其中，注日期的引用文件， 仅该日期对应的版本适用于本文件；不注日期的引用文件，其最新版本（包括所有的修改单）适用于本文件。</w:t>
      </w:r>
    </w:p>
    <w:p w14:paraId="5EE6C30E">
      <w:pPr>
        <w:pStyle w:val="30"/>
        <w:rPr>
          <w:rFonts w:hint="eastAsia" w:hAnsi="Times New Roman" w:cs="Times New Roman"/>
          <w:lang w:val="en-US" w:eastAsia="zh-CN"/>
        </w:rPr>
      </w:pPr>
      <w:r>
        <w:rPr>
          <w:rFonts w:hint="eastAsia" w:hAnsi="Times New Roman" w:cs="Times New Roman"/>
          <w:lang w:val="en-US" w:eastAsia="zh-CN"/>
        </w:rPr>
        <w:t>DZ/T 0283-2015 地面沉降调查与监测规范</w:t>
      </w:r>
    </w:p>
    <w:p w14:paraId="080523B9">
      <w:pPr>
        <w:pStyle w:val="30"/>
        <w:rPr>
          <w:rFonts w:hint="eastAsia" w:hAnsi="Times New Roman" w:cs="Times New Roman"/>
          <w:lang w:val="en-US" w:eastAsia="zh-CN"/>
        </w:rPr>
      </w:pPr>
      <w:r>
        <w:rPr>
          <w:rFonts w:hint="eastAsia" w:hAnsi="Times New Roman" w:cs="Times New Roman"/>
          <w:lang w:val="en-US" w:eastAsia="zh-CN"/>
        </w:rPr>
        <w:t>DZ/T 0154-2020 地面沉降测量规范</w:t>
      </w:r>
    </w:p>
    <w:p w14:paraId="3385B57B">
      <w:pPr>
        <w:pStyle w:val="30"/>
        <w:rPr>
          <w:rFonts w:hint="eastAsia" w:hAnsi="Times New Roman" w:cs="Times New Roman"/>
          <w:lang w:val="en-US" w:eastAsia="zh-CN"/>
        </w:rPr>
      </w:pPr>
      <w:r>
        <w:rPr>
          <w:rFonts w:hint="eastAsia" w:hAnsi="Times New Roman" w:cs="Times New Roman"/>
          <w:lang w:val="en-US" w:eastAsia="zh-CN"/>
        </w:rPr>
        <w:t>DZ/T 0446-2023 地面沉降和地裂缝光纤监测规程</w:t>
      </w:r>
    </w:p>
    <w:p w14:paraId="7C55BDA0">
      <w:pPr>
        <w:pStyle w:val="30"/>
        <w:rPr>
          <w:rFonts w:hint="eastAsia" w:hAnsi="Times New Roman" w:cs="Times New Roman"/>
          <w:lang w:val="en-US" w:eastAsia="zh-CN"/>
        </w:rPr>
      </w:pPr>
      <w:r>
        <w:rPr>
          <w:rFonts w:hint="eastAsia" w:hAnsi="Times New Roman" w:cs="Times New Roman"/>
          <w:lang w:val="en-US" w:eastAsia="zh-CN"/>
        </w:rPr>
        <w:t>DZ/T 0460-2023 地质灾害自动化仪器监测预警规范</w:t>
      </w:r>
    </w:p>
    <w:p w14:paraId="72A65115">
      <w:pPr>
        <w:pStyle w:val="30"/>
        <w:rPr>
          <w:rFonts w:hint="eastAsia" w:hAnsi="Times New Roman" w:cs="Times New Roman"/>
          <w:lang w:val="en-US" w:eastAsia="zh-CN"/>
        </w:rPr>
      </w:pPr>
      <w:r>
        <w:rPr>
          <w:rFonts w:hint="eastAsia" w:hAnsi="Times New Roman" w:cs="Times New Roman"/>
          <w:lang w:val="en-US" w:eastAsia="zh-CN"/>
        </w:rPr>
        <w:t>GB/T40112-2021 地质灾害危险性评估规范</w:t>
      </w:r>
    </w:p>
    <w:p w14:paraId="0F283DBC">
      <w:pPr>
        <w:pStyle w:val="30"/>
        <w:rPr>
          <w:rFonts w:hint="eastAsia" w:hAnsi="Times New Roman" w:cs="Times New Roman"/>
          <w:lang w:val="en-US" w:eastAsia="zh-CN"/>
        </w:rPr>
      </w:pPr>
      <w:r>
        <w:rPr>
          <w:rFonts w:hint="eastAsia" w:hAnsi="Times New Roman" w:cs="Times New Roman"/>
          <w:lang w:val="en-US" w:eastAsia="zh-CN"/>
        </w:rPr>
        <w:t>SL/T833—2024 地下水控制指标确定技术导则</w:t>
      </w:r>
    </w:p>
    <w:p w14:paraId="1FD6E5E4">
      <w:pPr>
        <w:widowControl w:val="0"/>
        <w:spacing w:after="299" w:line="1" w:lineRule="exact"/>
        <w:outlineLvl w:val="9"/>
        <w:rPr>
          <w:color w:val="auto"/>
        </w:rPr>
      </w:pPr>
    </w:p>
    <w:p w14:paraId="253BCB69">
      <w:pPr>
        <w:pStyle w:val="35"/>
        <w:rPr>
          <w:rFonts w:hint="eastAsia" w:hAnsi="Times New Roman" w:cs="Times New Roman"/>
          <w:lang w:val="en-US" w:eastAsia="zh-CN"/>
        </w:rPr>
      </w:pPr>
      <w:bookmarkStart w:id="28" w:name="_Toc12151"/>
      <w:bookmarkStart w:id="29" w:name="_Toc11311"/>
      <w:bookmarkStart w:id="30" w:name="_Toc32217"/>
      <w:bookmarkStart w:id="31" w:name="_Toc9369"/>
      <w:r>
        <w:rPr>
          <w:rFonts w:hint="eastAsia" w:hAnsi="Times New Roman" w:cs="Times New Roman"/>
          <w:lang w:val="en-US" w:eastAsia="zh-CN"/>
        </w:rPr>
        <w:t>术语和定义</w:t>
      </w:r>
      <w:bookmarkEnd w:id="28"/>
      <w:bookmarkEnd w:id="29"/>
      <w:bookmarkEnd w:id="30"/>
      <w:bookmarkEnd w:id="31"/>
    </w:p>
    <w:p w14:paraId="0B607F76">
      <w:pPr>
        <w:pStyle w:val="30"/>
        <w:rPr>
          <w:rFonts w:hint="eastAsia" w:hAnsi="Times New Roman" w:cs="Times New Roman"/>
          <w:lang w:val="en-US" w:eastAsia="zh-CN"/>
        </w:rPr>
      </w:pPr>
      <w:r>
        <w:rPr>
          <w:rFonts w:hint="eastAsia" w:hAnsi="Times New Roman" w:cs="Times New Roman"/>
          <w:lang w:val="en-US" w:eastAsia="zh-CN"/>
        </w:rPr>
        <w:t>下列术语和定义适用于本文件。</w:t>
      </w:r>
    </w:p>
    <w:p w14:paraId="0356326B">
      <w:pPr>
        <w:pStyle w:val="36"/>
        <w:rPr>
          <w:rFonts w:hint="eastAsia" w:hAnsi="Times New Roman" w:cs="Times New Roman"/>
          <w:lang w:val="en-US" w:eastAsia="zh-CN"/>
        </w:rPr>
      </w:pPr>
      <w:bookmarkStart w:id="32" w:name="_Toc29933"/>
      <w:bookmarkStart w:id="33" w:name="_Toc8884"/>
      <w:bookmarkStart w:id="34" w:name="_Toc28258"/>
      <w:r>
        <w:rPr>
          <w:rFonts w:hint="eastAsia" w:hAnsi="Times New Roman" w:cs="Times New Roman"/>
          <w:lang w:val="en-US" w:eastAsia="zh-CN"/>
        </w:rPr>
        <w:t>静力水准仪</w:t>
      </w:r>
      <w:bookmarkEnd w:id="32"/>
      <w:r>
        <w:rPr>
          <w:rFonts w:hint="eastAsia" w:hAnsi="Times New Roman" w:cs="Times New Roman"/>
          <w:lang w:val="en-US" w:eastAsia="zh-CN"/>
        </w:rPr>
        <w:t xml:space="preserve"> h</w:t>
      </w:r>
      <w:r>
        <w:rPr>
          <w:rFonts w:hint="eastAsia" w:hAnsi="Times New Roman" w:cs="Times New Roman"/>
        </w:rPr>
        <w:t xml:space="preserve">ydrostatic </w:t>
      </w:r>
      <w:r>
        <w:rPr>
          <w:rFonts w:hint="eastAsia" w:hAnsi="Times New Roman" w:cs="Times New Roman"/>
          <w:lang w:val="en-US" w:eastAsia="zh-CN"/>
        </w:rPr>
        <w:t>l</w:t>
      </w:r>
      <w:r>
        <w:rPr>
          <w:rFonts w:hint="eastAsia" w:hAnsi="Times New Roman" w:cs="Times New Roman"/>
        </w:rPr>
        <w:t xml:space="preserve">evel </w:t>
      </w:r>
      <w:r>
        <w:rPr>
          <w:rFonts w:hint="eastAsia" w:hAnsi="Times New Roman" w:cs="Times New Roman"/>
          <w:lang w:val="en-US" w:eastAsia="zh-CN"/>
        </w:rPr>
        <w:t>s</w:t>
      </w:r>
      <w:r>
        <w:rPr>
          <w:rFonts w:hint="eastAsia" w:hAnsi="Times New Roman" w:cs="Times New Roman"/>
        </w:rPr>
        <w:t>ensor</w:t>
      </w:r>
      <w:bookmarkEnd w:id="33"/>
      <w:bookmarkEnd w:id="34"/>
      <w:r>
        <w:rPr>
          <w:rFonts w:hint="eastAsia" w:hAnsi="Times New Roman" w:cs="Times New Roman"/>
          <w:lang w:val="en-US" w:eastAsia="zh-CN"/>
        </w:rPr>
        <w:t xml:space="preserve"> </w:t>
      </w:r>
    </w:p>
    <w:p w14:paraId="79BA1796">
      <w:pPr>
        <w:pStyle w:val="30"/>
        <w:rPr>
          <w:rFonts w:hint="eastAsia" w:hAnsi="Times New Roman" w:cs="Times New Roman"/>
          <w:lang w:val="en-US" w:eastAsia="zh-CN"/>
        </w:rPr>
      </w:pPr>
      <w:r>
        <w:rPr>
          <w:rFonts w:hint="eastAsia" w:hAnsi="Times New Roman" w:cs="Times New Roman"/>
          <w:lang w:val="en-US" w:eastAsia="zh-CN"/>
        </w:rPr>
        <w:t>基于液体静力平衡与连通器原理，通过检测内部液面高程变化测定测点间相对垂直位移的自动化水准测量仪器，本文件中固定安装于基岩标或分层标标头，用于地面沉降垂直变形的连续自动化观测。</w:t>
      </w:r>
    </w:p>
    <w:p w14:paraId="18F91830">
      <w:pPr>
        <w:pStyle w:val="36"/>
        <w:rPr>
          <w:rFonts w:hint="eastAsia" w:hAnsi="Times New Roman" w:cs="Times New Roman"/>
          <w:lang w:val="en-US" w:eastAsia="zh-CN"/>
        </w:rPr>
      </w:pPr>
      <w:bookmarkStart w:id="35" w:name="_Toc278"/>
      <w:bookmarkStart w:id="36" w:name="_Toc19314"/>
      <w:bookmarkStart w:id="37" w:name="_Toc10586"/>
      <w:r>
        <w:rPr>
          <w:rFonts w:hint="eastAsia" w:hAnsi="Times New Roman" w:cs="Times New Roman"/>
          <w:lang w:val="en-US" w:eastAsia="zh-CN"/>
        </w:rPr>
        <w:t>静力水准系统 Hydrostatic Level Monitoring System</w:t>
      </w:r>
      <w:bookmarkEnd w:id="35"/>
      <w:bookmarkEnd w:id="36"/>
    </w:p>
    <w:p w14:paraId="3B1FD132">
      <w:pPr>
        <w:pStyle w:val="30"/>
        <w:rPr>
          <w:rFonts w:hint="eastAsia" w:hAnsi="Times New Roman" w:cs="Times New Roman"/>
          <w:lang w:val="en-US" w:eastAsia="zh-CN"/>
        </w:rPr>
      </w:pPr>
      <w:r>
        <w:rPr>
          <w:rFonts w:hint="eastAsia" w:hAnsi="Times New Roman" w:cs="Times New Roman"/>
          <w:lang w:val="en-US" w:eastAsia="zh-CN"/>
        </w:rPr>
        <w:t>基于连通器原理，用于测量多点之间‌相对高程变化‌（即垂直位移或沉降）的高精度自动化监测系统。静力水准系统，一般由监测点传感器、基准点传感器、储液罐、数据采集器、连通管（液管和气管）、供电系统、信号传输系统以及安装支架等部件组成。</w:t>
      </w:r>
    </w:p>
    <w:p w14:paraId="61F18443">
      <w:pPr>
        <w:pStyle w:val="36"/>
        <w:rPr>
          <w:rFonts w:hint="eastAsia" w:hAnsi="Times New Roman" w:cs="Times New Roman"/>
          <w:lang w:val="en-US" w:eastAsia="zh-CN"/>
        </w:rPr>
      </w:pPr>
      <w:bookmarkStart w:id="38" w:name="_Toc14908"/>
      <w:bookmarkStart w:id="39" w:name="_Toc3902"/>
      <w:r>
        <w:rPr>
          <w:rFonts w:hint="eastAsia" w:hAnsi="Times New Roman" w:cs="Times New Roman"/>
          <w:lang w:val="en-US" w:eastAsia="zh-CN"/>
        </w:rPr>
        <w:t>数据采集仪</w:t>
      </w:r>
      <w:bookmarkEnd w:id="37"/>
      <w:r>
        <w:rPr>
          <w:rFonts w:hint="eastAsia" w:hAnsi="Times New Roman" w:cs="Times New Roman"/>
          <w:lang w:val="en-US" w:eastAsia="zh-CN"/>
        </w:rPr>
        <w:t xml:space="preserve"> data acquisition </w:t>
      </w:r>
      <w:r>
        <w:rPr>
          <w:rFonts w:hint="eastAsia" w:cs="Times New Roman"/>
          <w:lang w:val="en-US" w:eastAsia="zh-CN"/>
        </w:rPr>
        <w:t>instrument</w:t>
      </w:r>
      <w:bookmarkEnd w:id="38"/>
      <w:bookmarkEnd w:id="39"/>
    </w:p>
    <w:p w14:paraId="52628354">
      <w:pPr>
        <w:pStyle w:val="30"/>
        <w:rPr>
          <w:rFonts w:hint="default" w:hAnsi="Times New Roman" w:cs="Times New Roman"/>
          <w:lang w:val="en-US" w:eastAsia="zh-CN"/>
        </w:rPr>
      </w:pPr>
      <w:r>
        <w:rPr>
          <w:rFonts w:hint="eastAsia" w:hAnsi="Times New Roman" w:cs="Times New Roman"/>
          <w:lang w:val="en-US" w:eastAsia="zh-CN"/>
        </w:rPr>
        <w:t>连通监测仪器、用于采集和传输监测数据的专用设备。</w:t>
      </w:r>
    </w:p>
    <w:p w14:paraId="37D6C225">
      <w:pPr>
        <w:pStyle w:val="36"/>
        <w:rPr>
          <w:rFonts w:hint="default" w:hAnsi="Times New Roman" w:cs="Times New Roman"/>
          <w:lang w:val="en-US" w:eastAsia="zh-CN"/>
        </w:rPr>
      </w:pPr>
      <w:bookmarkStart w:id="40" w:name="_Toc28726"/>
      <w:bookmarkStart w:id="41" w:name="_Toc31811"/>
      <w:bookmarkStart w:id="42" w:name="_Toc23405"/>
      <w:r>
        <w:rPr>
          <w:rFonts w:hint="eastAsia" w:hAnsi="Times New Roman" w:cs="Times New Roman"/>
          <w:lang w:val="en-US" w:eastAsia="zh-CN"/>
        </w:rPr>
        <w:t>终端数据处理</w:t>
      </w:r>
      <w:bookmarkEnd w:id="40"/>
      <w:r>
        <w:rPr>
          <w:rFonts w:hint="eastAsia" w:hAnsi="Times New Roman" w:cs="Times New Roman"/>
          <w:lang w:val="en-US" w:eastAsia="zh-CN"/>
        </w:rPr>
        <w:t xml:space="preserve"> terminal data processing</w:t>
      </w:r>
      <w:bookmarkEnd w:id="41"/>
      <w:bookmarkEnd w:id="42"/>
    </w:p>
    <w:p w14:paraId="65D892A6">
      <w:pPr>
        <w:pStyle w:val="30"/>
        <w:rPr>
          <w:rFonts w:hint="default" w:hAnsi="Times New Roman" w:cs="Times New Roman"/>
          <w:lang w:val="en-US" w:eastAsia="zh-CN"/>
        </w:rPr>
      </w:pPr>
      <w:r>
        <w:rPr>
          <w:rFonts w:hint="eastAsia" w:hAnsi="Times New Roman" w:cs="Times New Roman"/>
          <w:lang w:val="en-US" w:eastAsia="zh-CN"/>
        </w:rPr>
        <w:t>在地面沉降监测系统的终端设备（数据采集仪、静力水准仪）上，对传感器实时采集的原始观测数据依照相关规则进行解析、滤波、修正、计算等，是实现沉降数据从原始信号到有效监测成果的关键环节。</w:t>
      </w:r>
    </w:p>
    <w:p w14:paraId="75938DBA">
      <w:pPr>
        <w:pStyle w:val="36"/>
        <w:rPr>
          <w:rFonts w:hint="eastAsia" w:hAnsi="Times New Roman" w:cs="Times New Roman"/>
          <w:lang w:val="en-US" w:eastAsia="zh-CN"/>
        </w:rPr>
      </w:pPr>
      <w:bookmarkStart w:id="43" w:name="_Toc17134"/>
      <w:bookmarkStart w:id="44" w:name="_Toc28335"/>
      <w:bookmarkStart w:id="45" w:name="_Toc30367"/>
      <w:r>
        <w:rPr>
          <w:rFonts w:hint="eastAsia" w:hAnsi="Times New Roman" w:cs="Times New Roman"/>
          <w:lang w:val="en-US" w:eastAsia="zh-CN"/>
        </w:rPr>
        <w:t>液位高</w:t>
      </w:r>
      <w:bookmarkEnd w:id="43"/>
      <w:r>
        <w:rPr>
          <w:rFonts w:hint="eastAsia" w:hAnsi="Times New Roman" w:cs="Times New Roman"/>
          <w:lang w:val="en-US" w:eastAsia="zh-CN"/>
        </w:rPr>
        <w:t xml:space="preserve">  liquid level</w:t>
      </w:r>
      <w:bookmarkEnd w:id="44"/>
      <w:bookmarkEnd w:id="45"/>
    </w:p>
    <w:p w14:paraId="35A13FBA">
      <w:pPr>
        <w:pStyle w:val="30"/>
        <w:rPr>
          <w:rFonts w:hint="default" w:hAnsi="Times New Roman" w:cs="Times New Roman"/>
          <w:lang w:val="en-US" w:eastAsia="zh-CN"/>
        </w:rPr>
      </w:pPr>
      <w:r>
        <w:rPr>
          <w:rFonts w:hint="eastAsia" w:hAnsi="Times New Roman" w:cs="Times New Roman"/>
          <w:lang w:val="en-US" w:eastAsia="zh-CN"/>
        </w:rPr>
        <w:t>静力水准仪内部的液面距离仪器底部的高度。</w:t>
      </w:r>
    </w:p>
    <w:p w14:paraId="074BB985">
      <w:pPr>
        <w:pStyle w:val="36"/>
        <w:rPr>
          <w:rFonts w:hint="default" w:hAnsi="Times New Roman" w:cs="Times New Roman"/>
          <w:lang w:val="en-US" w:eastAsia="zh-CN"/>
        </w:rPr>
      </w:pPr>
      <w:bookmarkStart w:id="46" w:name="_Toc6608"/>
      <w:bookmarkStart w:id="47" w:name="_Toc729"/>
      <w:bookmarkStart w:id="48" w:name="_Toc15032"/>
      <w:r>
        <w:rPr>
          <w:rFonts w:hint="eastAsia" w:hAnsi="Times New Roman" w:cs="Times New Roman"/>
          <w:lang w:val="en-US" w:eastAsia="zh-CN"/>
        </w:rPr>
        <w:t>沉降差</w:t>
      </w:r>
      <w:bookmarkEnd w:id="46"/>
      <w:r>
        <w:rPr>
          <w:rFonts w:hint="eastAsia" w:hAnsi="Times New Roman" w:cs="Times New Roman"/>
          <w:lang w:val="en-US" w:eastAsia="zh-CN"/>
        </w:rPr>
        <w:t xml:space="preserve">  differential settlement</w:t>
      </w:r>
      <w:bookmarkEnd w:id="47"/>
      <w:bookmarkEnd w:id="48"/>
    </w:p>
    <w:p w14:paraId="1C0C73BD">
      <w:pPr>
        <w:pStyle w:val="30"/>
        <w:rPr>
          <w:rFonts w:hint="default" w:hAnsi="Times New Roman" w:cs="Times New Roman"/>
          <w:lang w:val="en-US" w:eastAsia="zh-CN"/>
        </w:rPr>
      </w:pPr>
      <w:r>
        <w:rPr>
          <w:rFonts w:hint="eastAsia" w:hAnsi="Times New Roman" w:cs="Times New Roman"/>
          <w:lang w:val="en-US" w:eastAsia="zh-CN"/>
        </w:rPr>
        <w:t>同一个分层标组监测系统中，</w:t>
      </w:r>
      <w:r>
        <w:rPr>
          <w:rFonts w:hint="eastAsia" w:cs="Times New Roman"/>
          <w:lang w:val="en-US" w:eastAsia="zh-CN"/>
        </w:rPr>
        <w:t>同一时刻</w:t>
      </w:r>
      <w:r>
        <w:rPr>
          <w:rFonts w:hint="eastAsia" w:hAnsi="Times New Roman" w:cs="Times New Roman"/>
          <w:lang w:val="en-US" w:eastAsia="zh-CN"/>
        </w:rPr>
        <w:t>某分层标静力水准仪液位高与基岩标液位高的差值。</w:t>
      </w:r>
    </w:p>
    <w:p w14:paraId="65996186">
      <w:pPr>
        <w:pStyle w:val="36"/>
        <w:rPr>
          <w:rFonts w:hint="default" w:hAnsi="Times New Roman" w:cs="Times New Roman"/>
          <w:lang w:val="en-US" w:eastAsia="zh-CN"/>
        </w:rPr>
      </w:pPr>
      <w:bookmarkStart w:id="49" w:name="_Toc6459"/>
      <w:bookmarkStart w:id="50" w:name="_Toc1342"/>
      <w:bookmarkStart w:id="51" w:name="_Toc11920"/>
      <w:r>
        <w:rPr>
          <w:rFonts w:hint="eastAsia" w:hAnsi="Times New Roman" w:cs="Times New Roman"/>
          <w:lang w:val="en-US" w:eastAsia="zh-CN"/>
        </w:rPr>
        <w:t>调整差</w:t>
      </w:r>
      <w:bookmarkEnd w:id="49"/>
      <w:r>
        <w:rPr>
          <w:rFonts w:hint="eastAsia" w:hAnsi="Times New Roman" w:cs="Times New Roman"/>
          <w:lang w:val="en-US" w:eastAsia="zh-CN"/>
        </w:rPr>
        <w:t xml:space="preserve"> adjustment difference</w:t>
      </w:r>
      <w:bookmarkEnd w:id="50"/>
      <w:bookmarkEnd w:id="51"/>
    </w:p>
    <w:p w14:paraId="6F251857">
      <w:pPr>
        <w:pStyle w:val="30"/>
        <w:rPr>
          <w:rFonts w:hint="eastAsia" w:hAnsi="Times New Roman" w:cs="Times New Roman"/>
          <w:lang w:val="en-US" w:eastAsia="zh-CN"/>
        </w:rPr>
      </w:pPr>
      <w:r>
        <w:rPr>
          <w:rFonts w:hint="eastAsia" w:cs="Times New Roman"/>
          <w:lang w:val="en-US" w:eastAsia="zh-CN"/>
        </w:rPr>
        <w:t>同</w:t>
      </w:r>
      <w:r>
        <w:rPr>
          <w:rFonts w:hint="eastAsia" w:hAnsi="Times New Roman" w:cs="Times New Roman"/>
          <w:lang w:val="en-US" w:eastAsia="zh-CN"/>
        </w:rPr>
        <w:t>一个分层标组监测系统</w:t>
      </w:r>
      <w:r>
        <w:rPr>
          <w:rFonts w:hint="eastAsia" w:cs="Times New Roman"/>
          <w:lang w:val="en-US" w:eastAsia="zh-CN"/>
        </w:rPr>
        <w:t>中</w:t>
      </w:r>
      <w:r>
        <w:rPr>
          <w:rFonts w:hint="eastAsia" w:hAnsi="Times New Roman" w:cs="Times New Roman"/>
          <w:lang w:val="en-US" w:eastAsia="zh-CN"/>
        </w:rPr>
        <w:t>，某分层标静力水准仪底座安装或调整引起的变化值。</w:t>
      </w:r>
    </w:p>
    <w:p w14:paraId="126FF91E">
      <w:pPr>
        <w:pStyle w:val="36"/>
        <w:rPr>
          <w:rFonts w:hint="eastAsia" w:hAnsi="Times New Roman" w:cs="Times New Roman"/>
          <w:lang w:val="en-US" w:eastAsia="zh-CN"/>
        </w:rPr>
      </w:pPr>
      <w:bookmarkStart w:id="52" w:name="_Toc31544"/>
      <w:bookmarkStart w:id="53" w:name="_Toc20236"/>
      <w:bookmarkStart w:id="54" w:name="_Toc32209"/>
      <w:r>
        <w:rPr>
          <w:rFonts w:hint="eastAsia" w:hAnsi="Times New Roman" w:cs="Times New Roman"/>
          <w:lang w:val="en-US" w:eastAsia="zh-CN"/>
        </w:rPr>
        <w:t>累计调整差</w:t>
      </w:r>
      <w:bookmarkEnd w:id="52"/>
      <w:r>
        <w:rPr>
          <w:rFonts w:hint="eastAsia" w:hAnsi="Times New Roman" w:cs="Times New Roman"/>
          <w:lang w:val="en-US" w:eastAsia="zh-CN"/>
        </w:rPr>
        <w:t xml:space="preserve"> cumulative adjustment difference</w:t>
      </w:r>
      <w:bookmarkEnd w:id="53"/>
      <w:bookmarkEnd w:id="54"/>
    </w:p>
    <w:p w14:paraId="0464BABF">
      <w:pPr>
        <w:pStyle w:val="30"/>
        <w:rPr>
          <w:rFonts w:hint="default" w:hAnsi="Times New Roman" w:cs="Times New Roman"/>
          <w:highlight w:val="none"/>
          <w:lang w:val="en-US" w:eastAsia="zh-CN"/>
        </w:rPr>
      </w:pPr>
      <w:r>
        <w:rPr>
          <w:rFonts w:hint="eastAsia" w:cs="Times New Roman"/>
          <w:lang w:val="en-US" w:eastAsia="zh-CN"/>
        </w:rPr>
        <w:t>同</w:t>
      </w:r>
      <w:r>
        <w:rPr>
          <w:rFonts w:hint="eastAsia" w:hAnsi="Times New Roman" w:cs="Times New Roman"/>
          <w:lang w:val="en-US" w:eastAsia="zh-CN"/>
        </w:rPr>
        <w:t>一个分层标组监测系统</w:t>
      </w:r>
      <w:r>
        <w:rPr>
          <w:rFonts w:hint="eastAsia" w:cs="Times New Roman"/>
          <w:lang w:val="en-US" w:eastAsia="zh-CN"/>
        </w:rPr>
        <w:t>中</w:t>
      </w:r>
      <w:r>
        <w:rPr>
          <w:rFonts w:hint="eastAsia" w:hAnsi="Times New Roman" w:cs="Times New Roman"/>
          <w:highlight w:val="none"/>
          <w:lang w:val="en-US" w:eastAsia="zh-CN"/>
        </w:rPr>
        <w:t>，某台分层标静力水准仪多次底座调整引起的调整差叠加值即为该分层标当前的累计调整差。</w:t>
      </w:r>
    </w:p>
    <w:p w14:paraId="454DF283">
      <w:pPr>
        <w:pStyle w:val="36"/>
        <w:rPr>
          <w:rFonts w:hint="eastAsia" w:hAnsi="Times New Roman" w:cs="Times New Roman"/>
          <w:lang w:val="en-US" w:eastAsia="zh-CN"/>
        </w:rPr>
      </w:pPr>
      <w:bookmarkStart w:id="55" w:name="_Toc12084"/>
      <w:bookmarkStart w:id="56" w:name="_Toc1086"/>
      <w:bookmarkStart w:id="57" w:name="_Toc8064"/>
      <w:r>
        <w:rPr>
          <w:rFonts w:hint="eastAsia" w:hAnsi="Times New Roman" w:cs="Times New Roman"/>
          <w:lang w:val="en-US" w:eastAsia="zh-CN"/>
        </w:rPr>
        <w:t>沉降量</w:t>
      </w:r>
      <w:bookmarkEnd w:id="55"/>
      <w:r>
        <w:rPr>
          <w:rFonts w:hint="eastAsia" w:hAnsi="Times New Roman" w:cs="Times New Roman"/>
          <w:lang w:val="en-US" w:eastAsia="zh-CN"/>
        </w:rPr>
        <w:t xml:space="preserve"> cumulative settlement</w:t>
      </w:r>
      <w:bookmarkEnd w:id="56"/>
      <w:bookmarkEnd w:id="57"/>
    </w:p>
    <w:p w14:paraId="3098B6D3">
      <w:pPr>
        <w:pStyle w:val="30"/>
        <w:rPr>
          <w:rFonts w:hint="eastAsia" w:hAnsi="Times New Roman" w:cs="Times New Roman"/>
          <w:lang w:val="en-US" w:eastAsia="zh-CN"/>
        </w:rPr>
      </w:pPr>
      <w:r>
        <w:rPr>
          <w:rFonts w:hint="eastAsia" w:hAnsi="Times New Roman" w:cs="Times New Roman"/>
          <w:lang w:val="en-US" w:eastAsia="zh-CN"/>
        </w:rPr>
        <w:t>在特定监测时段内，同一个分层标组监测系统中，某一分层</w:t>
      </w:r>
      <w:r>
        <w:rPr>
          <w:rFonts w:hint="eastAsia" w:cs="Times New Roman"/>
          <w:lang w:val="en-US" w:eastAsia="zh-CN"/>
        </w:rPr>
        <w:t>标</w:t>
      </w:r>
      <w:r>
        <w:rPr>
          <w:rFonts w:hint="eastAsia" w:hAnsi="Times New Roman" w:cs="Times New Roman"/>
          <w:lang w:val="en-US" w:eastAsia="zh-CN"/>
        </w:rPr>
        <w:t>静力水准仪从沉降观测起始时刻到当前时刻，相对于基岩标产生的沉降量的累计总和，反映了松散地层在整个监测周期内的总变形幅度。</w:t>
      </w:r>
    </w:p>
    <w:p w14:paraId="79D2CBB6">
      <w:pPr>
        <w:pStyle w:val="36"/>
        <w:rPr>
          <w:rFonts w:hint="eastAsia" w:hAnsi="Times New Roman" w:cs="Times New Roman"/>
          <w:lang w:val="en-US" w:eastAsia="zh-CN"/>
        </w:rPr>
      </w:pPr>
      <w:bookmarkStart w:id="58" w:name="_Toc16548"/>
      <w:r>
        <w:rPr>
          <w:rFonts w:hint="eastAsia" w:hAnsi="Times New Roman" w:cs="Times New Roman"/>
          <w:lang w:val="en-US" w:eastAsia="zh-CN"/>
        </w:rPr>
        <w:t>静力水准系统状态</w:t>
      </w:r>
      <w:bookmarkEnd w:id="58"/>
      <w:r>
        <w:rPr>
          <w:rFonts w:hint="eastAsia" w:cs="Times New Roman"/>
          <w:lang w:val="en-US" w:eastAsia="zh-CN"/>
        </w:rPr>
        <w:t xml:space="preserve"> State of the static leveling system</w:t>
      </w:r>
    </w:p>
    <w:p w14:paraId="66E9687A">
      <w:pPr>
        <w:pStyle w:val="30"/>
        <w:rPr>
          <w:rFonts w:hint="default" w:eastAsia="宋体"/>
          <w:lang w:val="en-US" w:eastAsia="zh-CN"/>
        </w:rPr>
      </w:pPr>
      <w:r>
        <w:rPr>
          <w:rFonts w:hint="eastAsia"/>
        </w:rPr>
        <w:t>静力水准系统状态</w:t>
      </w:r>
      <w:r>
        <w:rPr>
          <w:rFonts w:hint="eastAsia"/>
          <w:lang w:val="en-US" w:eastAsia="zh-CN"/>
        </w:rPr>
        <w:t>包括工作状态和维护状态。工作状态正常上报数据，维护状态不上报数据，维护过程产生的数据在本地数据采集仪自动保存。</w:t>
      </w:r>
    </w:p>
    <w:p w14:paraId="4D94C5AB">
      <w:pPr>
        <w:pStyle w:val="36"/>
        <w:rPr>
          <w:rFonts w:hint="eastAsia" w:hAnsi="Times New Roman" w:cs="Times New Roman"/>
          <w:lang w:val="en-US" w:eastAsia="zh-CN"/>
        </w:rPr>
      </w:pPr>
      <w:bookmarkStart w:id="59" w:name="_Toc22450"/>
      <w:r>
        <w:rPr>
          <w:rFonts w:hint="eastAsia" w:hAnsi="Times New Roman" w:cs="Times New Roman"/>
          <w:lang w:val="en-US" w:eastAsia="zh-CN"/>
        </w:rPr>
        <w:t>地面沉降云平台land subsidence cloud platform</w:t>
      </w:r>
      <w:bookmarkEnd w:id="59"/>
    </w:p>
    <w:p w14:paraId="736BD146">
      <w:pPr>
        <w:pStyle w:val="30"/>
        <w:rPr>
          <w:rFonts w:hint="eastAsia" w:ascii="Segoe UI" w:hAnsi="Segoe UI" w:eastAsia="Segoe UI" w:cs="Segoe UI"/>
          <w:i w:val="0"/>
          <w:iCs w:val="0"/>
          <w:caps w:val="0"/>
          <w:color w:val="0F1115"/>
          <w:spacing w:val="0"/>
          <w:sz w:val="21"/>
          <w:szCs w:val="21"/>
          <w:shd w:val="clear" w:fill="FFFFFF"/>
          <w:lang w:val="en-US" w:eastAsia="zh-CN"/>
        </w:rPr>
      </w:pPr>
      <w:r>
        <w:rPr>
          <w:rFonts w:ascii="宋体" w:hAnsi="宋体" w:eastAsia="宋体" w:cs="宋体"/>
          <w:sz w:val="21"/>
          <w:szCs w:val="21"/>
        </w:rPr>
        <w:t>接收、存储、解析、展示和分析地面沉降分层标组静力水准系统监测数据，并提供预警、统计、报表与数据管理服务的云端信息化管理平台。</w:t>
      </w:r>
    </w:p>
    <w:p w14:paraId="6F132E48">
      <w:pPr>
        <w:pStyle w:val="35"/>
        <w:rPr>
          <w:rFonts w:hint="eastAsia" w:hAnsi="Times New Roman" w:cs="Times New Roman"/>
          <w:lang w:val="en-US" w:eastAsia="zh-CN"/>
        </w:rPr>
      </w:pPr>
      <w:bookmarkStart w:id="60" w:name="_Toc12713"/>
      <w:bookmarkStart w:id="61" w:name="_Toc29835"/>
      <w:bookmarkStart w:id="62" w:name="_Toc14382"/>
      <w:bookmarkStart w:id="63" w:name="_Toc19766"/>
      <w:bookmarkStart w:id="64" w:name="_Toc21846"/>
      <w:r>
        <w:rPr>
          <w:rFonts w:hint="eastAsia" w:hAnsi="Times New Roman" w:cs="Times New Roman"/>
          <w:lang w:val="en-US" w:eastAsia="zh-CN"/>
        </w:rPr>
        <w:t>总则</w:t>
      </w:r>
      <w:bookmarkEnd w:id="60"/>
      <w:bookmarkEnd w:id="61"/>
      <w:bookmarkEnd w:id="62"/>
      <w:bookmarkEnd w:id="63"/>
    </w:p>
    <w:p w14:paraId="1EDB07A7">
      <w:pPr>
        <w:pStyle w:val="36"/>
        <w:rPr>
          <w:rFonts w:hint="eastAsia" w:hAnsi="Times New Roman" w:cs="Times New Roman"/>
          <w:lang w:val="en-US" w:eastAsia="zh-CN"/>
        </w:rPr>
      </w:pPr>
      <w:bookmarkStart w:id="65" w:name="_Toc7764"/>
      <w:r>
        <w:rPr>
          <w:rFonts w:hint="eastAsia" w:hAnsi="Times New Roman" w:cs="Times New Roman"/>
        </w:rPr>
        <w:t>基本原则</w:t>
      </w:r>
      <w:bookmarkEnd w:id="65"/>
    </w:p>
    <w:p w14:paraId="15493F43">
      <w:pPr>
        <w:pStyle w:val="30"/>
        <w:rPr>
          <w:rFonts w:hint="eastAsia" w:hAnsi="Times New Roman" w:cs="Times New Roman"/>
        </w:rPr>
      </w:pPr>
      <w:r>
        <w:rPr>
          <w:rFonts w:hint="eastAsia" w:hAnsi="Times New Roman" w:cs="Times New Roman"/>
        </w:rPr>
        <w:t>地面沉降静力水准监测应遵循因地制宜、精准监测、稳定可靠、便于维护的原则，保障监测成果科学、准确、可追溯。</w:t>
      </w:r>
    </w:p>
    <w:p w14:paraId="42987FBB">
      <w:pPr>
        <w:pStyle w:val="36"/>
        <w:rPr>
          <w:rFonts w:hint="eastAsia" w:hAnsi="Times New Roman" w:cs="Times New Roman"/>
          <w:lang w:val="en-US" w:eastAsia="zh-CN"/>
        </w:rPr>
      </w:pPr>
      <w:bookmarkStart w:id="66" w:name="_Toc12524"/>
      <w:r>
        <w:rPr>
          <w:rFonts w:hint="eastAsia" w:hAnsi="Times New Roman" w:cs="Times New Roman"/>
          <w:lang w:val="en-US" w:eastAsia="zh-CN"/>
        </w:rPr>
        <w:t>目标</w:t>
      </w:r>
      <w:bookmarkEnd w:id="66"/>
    </w:p>
    <w:p w14:paraId="3FAB2598">
      <w:pPr>
        <w:pStyle w:val="30"/>
        <w:rPr>
          <w:rFonts w:hint="eastAsia" w:hAnsi="Times New Roman" w:cs="Times New Roman"/>
          <w:lang w:val="en-US" w:eastAsia="zh-CN"/>
        </w:rPr>
      </w:pPr>
      <w:r>
        <w:rPr>
          <w:rFonts w:hint="eastAsia" w:hAnsi="Times New Roman" w:cs="Times New Roman"/>
        </w:rPr>
        <w:t xml:space="preserve">系统建设与运行应以保障监测数据的长期性、连续性、可靠性与准确性为总体目标，为地面沉降机理研究、风险评估与防治决策提供标准化技术支撑。 </w:t>
      </w:r>
    </w:p>
    <w:p w14:paraId="273C854B">
      <w:pPr>
        <w:pStyle w:val="36"/>
        <w:rPr>
          <w:rFonts w:hint="eastAsia" w:hAnsi="Times New Roman" w:cs="Times New Roman"/>
          <w:lang w:val="en-US" w:eastAsia="zh-CN"/>
        </w:rPr>
      </w:pPr>
      <w:bookmarkStart w:id="67" w:name="_Toc22141"/>
      <w:r>
        <w:rPr>
          <w:rFonts w:hint="eastAsia" w:hAnsi="Times New Roman" w:cs="Times New Roman"/>
          <w:lang w:val="en-US" w:eastAsia="zh-CN"/>
        </w:rPr>
        <w:t>工作流程</w:t>
      </w:r>
      <w:bookmarkEnd w:id="67"/>
    </w:p>
    <w:p w14:paraId="123974C4">
      <w:pPr>
        <w:pStyle w:val="30"/>
        <w:rPr>
          <w:rFonts w:hint="eastAsia" w:hAnsi="Times New Roman" w:cs="Times New Roman"/>
        </w:rPr>
      </w:pPr>
      <w:r>
        <w:rPr>
          <w:rFonts w:hint="eastAsia" w:hAnsi="Times New Roman" w:cs="Times New Roman"/>
        </w:rPr>
        <w:t>监测工作应覆盖系统设计、安装调试、数据采集处理、数据上报、云平台数据分析、运行维护、报告编制、验收等全生命周期环节，各环节应衔接有序、质量可控。</w:t>
      </w:r>
    </w:p>
    <w:p w14:paraId="138C4202">
      <w:pPr>
        <w:pStyle w:val="36"/>
        <w:rPr>
          <w:rFonts w:hint="eastAsia" w:hAnsi="Times New Roman" w:cs="Times New Roman"/>
          <w:lang w:val="en-US" w:eastAsia="zh-CN"/>
        </w:rPr>
      </w:pPr>
      <w:bookmarkStart w:id="68" w:name="_Toc16430"/>
      <w:r>
        <w:rPr>
          <w:rFonts w:hint="eastAsia" w:hAnsi="Times New Roman" w:cs="Times New Roman"/>
          <w:lang w:val="en-US" w:eastAsia="zh-CN"/>
        </w:rPr>
        <w:t>总体要求</w:t>
      </w:r>
      <w:bookmarkEnd w:id="68"/>
    </w:p>
    <w:p w14:paraId="6C3CB577">
      <w:pPr>
        <w:pStyle w:val="40"/>
        <w:spacing w:before="156" w:after="156"/>
        <w:rPr>
          <w:rFonts w:hint="eastAsia" w:ascii="宋体" w:hAnsi="宋体" w:eastAsia="宋体" w:cs="宋体"/>
        </w:rPr>
      </w:pPr>
      <w:r>
        <w:rPr>
          <w:rFonts w:hint="eastAsia" w:ascii="宋体" w:hAnsi="宋体" w:eastAsia="宋体" w:cs="宋体"/>
        </w:rPr>
        <w:t>系统设计应结合区域地面沉降发育程度、场地条件与监测需求，合理确定监测等级，选定仪器设备、液体介质、保护形式及配套设施，满足精细化监测要求。</w:t>
      </w:r>
    </w:p>
    <w:p w14:paraId="14F30CEA">
      <w:pPr>
        <w:pStyle w:val="40"/>
        <w:spacing w:before="156" w:after="156"/>
        <w:rPr>
          <w:rFonts w:hint="eastAsia" w:ascii="宋体" w:hAnsi="宋体" w:eastAsia="宋体" w:cs="宋体"/>
          <w:lang w:val="en-US" w:eastAsia="zh-CN"/>
        </w:rPr>
      </w:pPr>
      <w:r>
        <w:rPr>
          <w:rFonts w:hint="eastAsia" w:ascii="宋体" w:hAnsi="宋体" w:eastAsia="宋体" w:cs="宋体"/>
        </w:rPr>
        <w:t>安装施工应严格按照设计文件实施，确保仪器安装稳固、管路密封通畅，系统调试合格后方可进入正式运行阶段。</w:t>
      </w:r>
    </w:p>
    <w:p w14:paraId="6DFD3967">
      <w:pPr>
        <w:pStyle w:val="40"/>
        <w:spacing w:before="156" w:after="156"/>
        <w:rPr>
          <w:rFonts w:hint="eastAsia" w:ascii="宋体" w:hAnsi="宋体" w:eastAsia="宋体" w:cs="宋体"/>
          <w:lang w:val="en-US" w:eastAsia="zh-CN"/>
        </w:rPr>
      </w:pPr>
      <w:r>
        <w:rPr>
          <w:rFonts w:hint="eastAsia" w:ascii="宋体" w:hAnsi="宋体" w:eastAsia="宋体" w:cs="宋体"/>
        </w:rPr>
        <w:t>应采用统一的计算规则开展终端数据处理，通过边缘计算完成沉降参数解算</w:t>
      </w:r>
      <w:r>
        <w:rPr>
          <w:rFonts w:hint="eastAsia" w:ascii="宋体" w:hAnsi="宋体" w:eastAsia="宋体" w:cs="宋体"/>
          <w:lang w:eastAsia="zh-CN"/>
        </w:rPr>
        <w:t>。</w:t>
      </w:r>
    </w:p>
    <w:p w14:paraId="6450F51B">
      <w:pPr>
        <w:pStyle w:val="40"/>
        <w:spacing w:before="156" w:after="156"/>
        <w:rPr>
          <w:rFonts w:hint="eastAsia" w:ascii="宋体" w:hAnsi="宋体" w:eastAsia="宋体" w:cs="宋体"/>
          <w:lang w:val="en-US" w:eastAsia="zh-CN"/>
        </w:rPr>
      </w:pPr>
      <w:r>
        <w:rPr>
          <w:rFonts w:hint="eastAsia" w:ascii="宋体" w:hAnsi="宋体" w:eastAsia="宋体" w:cs="宋体"/>
        </w:rPr>
        <w:t>数据上报应及时、完整，满足远程监控与分析需求。</w:t>
      </w:r>
    </w:p>
    <w:p w14:paraId="45B119DD">
      <w:pPr>
        <w:pStyle w:val="40"/>
        <w:spacing w:before="156" w:after="156"/>
        <w:rPr>
          <w:rFonts w:hint="eastAsia" w:ascii="宋体" w:hAnsi="宋体" w:eastAsia="宋体" w:cs="宋体"/>
          <w:lang w:val="en-US" w:eastAsia="zh-CN"/>
        </w:rPr>
      </w:pPr>
      <w:r>
        <w:rPr>
          <w:rFonts w:hint="eastAsia" w:ascii="宋体" w:hAnsi="宋体" w:eastAsia="宋体" w:cs="宋体"/>
        </w:rPr>
        <w:t>应通过地面沉降云平台实现监测数据的集中存储、可视化展示与综合分析，具备统计、预警、报表生成等管理功能。</w:t>
      </w:r>
    </w:p>
    <w:p w14:paraId="62D67ED7">
      <w:pPr>
        <w:pStyle w:val="40"/>
        <w:spacing w:before="156" w:after="156"/>
        <w:rPr>
          <w:rFonts w:hint="eastAsia" w:ascii="宋体" w:hAnsi="宋体" w:eastAsia="宋体" w:cs="宋体"/>
          <w:lang w:val="en-US" w:eastAsia="zh-CN"/>
        </w:rPr>
      </w:pPr>
      <w:r>
        <w:rPr>
          <w:rFonts w:hint="eastAsia" w:ascii="宋体" w:hAnsi="宋体" w:eastAsia="宋体" w:cs="宋体"/>
        </w:rPr>
        <w:t>应建立常态化运行管理与维护机制，定期开展巡查，及时处置数据异常与设备故障，保障系统长期稳定运行。</w:t>
      </w:r>
    </w:p>
    <w:p w14:paraId="0610415B">
      <w:pPr>
        <w:pStyle w:val="40"/>
        <w:spacing w:before="156" w:after="156"/>
        <w:rPr>
          <w:rFonts w:hint="eastAsia" w:ascii="宋体" w:hAnsi="宋体" w:eastAsia="宋体" w:cs="宋体"/>
          <w:lang w:val="en-US" w:eastAsia="zh-CN"/>
        </w:rPr>
      </w:pPr>
      <w:r>
        <w:rPr>
          <w:rFonts w:hint="eastAsia" w:ascii="宋体" w:hAnsi="宋体" w:eastAsia="宋体" w:cs="宋体"/>
        </w:rPr>
        <w:t>应按规定周期编制监测报告，成果内容应规范完整</w:t>
      </w:r>
      <w:r>
        <w:rPr>
          <w:rFonts w:hint="eastAsia" w:ascii="宋体" w:hAnsi="宋体" w:eastAsia="宋体" w:cs="宋体"/>
          <w:lang w:eastAsia="zh-CN"/>
        </w:rPr>
        <w:t>。</w:t>
      </w:r>
    </w:p>
    <w:p w14:paraId="05CFBE95">
      <w:pPr>
        <w:pStyle w:val="40"/>
        <w:spacing w:before="156" w:after="156"/>
        <w:rPr>
          <w:rFonts w:hint="eastAsia" w:ascii="宋体" w:hAnsi="宋体" w:eastAsia="宋体" w:cs="宋体"/>
          <w:lang w:val="en-US" w:eastAsia="zh-CN"/>
        </w:rPr>
      </w:pPr>
      <w:r>
        <w:rPr>
          <w:rFonts w:hint="eastAsia" w:ascii="宋体" w:hAnsi="宋体" w:eastAsia="宋体" w:cs="宋体"/>
        </w:rPr>
        <w:t>系统建成后应开展专项验收，验收合格后方可正式投入使用。</w:t>
      </w:r>
    </w:p>
    <w:p w14:paraId="0689CCF4">
      <w:pPr>
        <w:pStyle w:val="35"/>
        <w:rPr>
          <w:rFonts w:hint="eastAsia" w:hAnsi="Times New Roman" w:cs="Times New Roman"/>
          <w:lang w:val="en-US" w:eastAsia="zh-CN"/>
        </w:rPr>
      </w:pPr>
      <w:bookmarkStart w:id="69" w:name="_Toc16931"/>
      <w:bookmarkStart w:id="70" w:name="_Toc25583"/>
      <w:bookmarkStart w:id="71" w:name="_Toc23716"/>
      <w:bookmarkStart w:id="72" w:name="_Toc16819"/>
      <w:r>
        <w:rPr>
          <w:rFonts w:hint="eastAsia" w:hAnsi="Times New Roman" w:cs="Times New Roman"/>
          <w:lang w:val="en-US" w:eastAsia="zh-CN"/>
        </w:rPr>
        <w:t>静力水准监测系统设计</w:t>
      </w:r>
      <w:bookmarkEnd w:id="69"/>
      <w:bookmarkEnd w:id="70"/>
      <w:bookmarkEnd w:id="71"/>
      <w:bookmarkEnd w:id="72"/>
    </w:p>
    <w:p w14:paraId="3482F38E">
      <w:pPr>
        <w:pStyle w:val="36"/>
        <w:rPr>
          <w:rFonts w:hint="eastAsia" w:hAnsi="Times New Roman" w:cs="Times New Roman"/>
          <w:lang w:val="en-US" w:eastAsia="zh-CN"/>
        </w:rPr>
      </w:pPr>
      <w:bookmarkStart w:id="73" w:name="_Toc152"/>
      <w:bookmarkStart w:id="74" w:name="_Toc1598"/>
      <w:bookmarkStart w:id="75" w:name="_Toc18030"/>
      <w:bookmarkStart w:id="76" w:name="_Toc12389"/>
      <w:r>
        <w:rPr>
          <w:rFonts w:hint="eastAsia" w:hAnsi="Times New Roman" w:cs="Times New Roman"/>
          <w:lang w:val="en-US" w:eastAsia="zh-CN"/>
        </w:rPr>
        <w:t>资料收集</w:t>
      </w:r>
      <w:bookmarkEnd w:id="73"/>
    </w:p>
    <w:p w14:paraId="4F5896D3">
      <w:pPr>
        <w:pStyle w:val="40"/>
        <w:spacing w:before="156" w:after="156"/>
        <w:rPr>
          <w:rFonts w:hint="eastAsia" w:ascii="宋体" w:hAnsi="宋体" w:eastAsia="宋体" w:cs="宋体"/>
        </w:rPr>
      </w:pPr>
      <w:r>
        <w:rPr>
          <w:rFonts w:hint="eastAsia" w:ascii="宋体" w:hAnsi="宋体" w:eastAsia="宋体" w:cs="宋体"/>
        </w:rPr>
        <w:t>收集项目地质资料，包括区域地层结构、地面沉降发育特征、水文地质条件等。</w:t>
      </w:r>
    </w:p>
    <w:p w14:paraId="6801F474">
      <w:pPr>
        <w:pStyle w:val="40"/>
        <w:spacing w:before="156" w:after="156"/>
        <w:rPr>
          <w:rFonts w:hint="eastAsia" w:ascii="宋体" w:hAnsi="宋体" w:eastAsia="宋体" w:cs="宋体"/>
        </w:rPr>
      </w:pPr>
      <w:r>
        <w:rPr>
          <w:rFonts w:hint="eastAsia" w:ascii="宋体" w:hAnsi="宋体" w:eastAsia="宋体" w:cs="宋体"/>
        </w:rPr>
        <w:t>收集分层标组设计资料，包括基岩标、分层标、地面标的孔位布置、标顶高程、保护管参数等。</w:t>
      </w:r>
    </w:p>
    <w:p w14:paraId="69F060F6">
      <w:pPr>
        <w:pStyle w:val="36"/>
        <w:rPr>
          <w:rFonts w:hint="default" w:hAnsi="Times New Roman" w:cs="Times New Roman"/>
          <w:lang w:val="en-US" w:eastAsia="zh-CN"/>
        </w:rPr>
      </w:pPr>
      <w:bookmarkStart w:id="77" w:name="_Toc22250"/>
      <w:r>
        <w:rPr>
          <w:rFonts w:hint="default" w:hAnsi="Times New Roman" w:cs="Times New Roman"/>
          <w:lang w:val="en-US" w:eastAsia="zh-CN"/>
        </w:rPr>
        <w:t>监测等级</w:t>
      </w:r>
      <w:r>
        <w:rPr>
          <w:rFonts w:hint="eastAsia" w:hAnsi="Times New Roman" w:cs="Times New Roman"/>
          <w:lang w:val="en-US" w:eastAsia="zh-CN"/>
        </w:rPr>
        <w:t>划分</w:t>
      </w:r>
      <w:bookmarkEnd w:id="77"/>
    </w:p>
    <w:p w14:paraId="4D0AEA03">
      <w:pPr>
        <w:pStyle w:val="40"/>
        <w:spacing w:before="156" w:after="156"/>
        <w:rPr>
          <w:rFonts w:hint="eastAsia" w:ascii="宋体" w:hAnsi="宋体" w:eastAsia="宋体" w:cs="宋体"/>
          <w:lang w:val="en-US" w:eastAsia="zh-CN"/>
        </w:rPr>
      </w:pPr>
      <w:r>
        <w:rPr>
          <w:rFonts w:hint="eastAsia" w:ascii="宋体" w:hAnsi="宋体" w:eastAsia="宋体" w:cs="宋体"/>
        </w:rPr>
        <w:t>地面沉降监测等级应根据沉降发育程度划分，划分指标应符合表1的规定。</w:t>
      </w:r>
    </w:p>
    <w:p w14:paraId="7DEDBD2C">
      <w:pPr>
        <w:pStyle w:val="48"/>
        <w:numPr>
          <w:ilvl w:val="0"/>
          <w:numId w:val="0"/>
        </w:numPr>
        <w:tabs>
          <w:tab w:val="left" w:pos="360"/>
        </w:tabs>
        <w:ind w:left="0" w:leftChars="0" w:firstLine="0" w:firstLineChars="0"/>
        <w:rPr>
          <w:rFonts w:hint="default" w:hAnsi="Times New Roman" w:cs="Times New Roman"/>
          <w:lang w:val="en-US" w:eastAsia="zh-CN"/>
        </w:rPr>
      </w:pPr>
      <w:r>
        <w:rPr>
          <w:rFonts w:hint="default" w:ascii="黑体" w:hAnsi="Times New Roman" w:eastAsia="黑体" w:cs="Times New Roman"/>
          <w:sz w:val="21"/>
          <w:lang w:val="en-US" w:eastAsia="zh-CN" w:bidi="ar-SA"/>
        </w:rPr>
        <w:t>表</w:t>
      </w:r>
      <w:r>
        <w:rPr>
          <w:rFonts w:hint="eastAsia" w:hAnsi="Times New Roman" w:cs="Times New Roman"/>
          <w:sz w:val="21"/>
          <w:lang w:val="en-US" w:eastAsia="zh-CN" w:bidi="ar-SA"/>
        </w:rPr>
        <w:t>1</w:t>
      </w:r>
      <w:r>
        <w:rPr>
          <w:rFonts w:hint="default" w:ascii="黑体" w:hAnsi="Times New Roman" w:eastAsia="黑体" w:cs="Times New Roman"/>
          <w:sz w:val="21"/>
          <w:lang w:val="en-US" w:eastAsia="zh-CN" w:bidi="ar-SA"/>
        </w:rPr>
        <w:t>　</w:t>
      </w:r>
      <w:r>
        <w:rPr>
          <w:rFonts w:hint="eastAsia" w:hAnsi="Times New Roman" w:cs="Times New Roman"/>
        </w:rPr>
        <w:t>地面沉降等级划分</w:t>
      </w:r>
    </w:p>
    <w:tbl>
      <w:tblPr>
        <w:tblStyle w:val="11"/>
        <w:tblW w:w="963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072"/>
        <w:gridCol w:w="2641"/>
        <w:gridCol w:w="2177"/>
        <w:gridCol w:w="1746"/>
      </w:tblGrid>
      <w:tr w14:paraId="0842A3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3072" w:type="dxa"/>
            <w:vMerge w:val="restart"/>
            <w:vAlign w:val="center"/>
          </w:tcPr>
          <w:p w14:paraId="4A9A0797">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地面沉降等级划分</w:t>
            </w:r>
          </w:p>
        </w:tc>
        <w:tc>
          <w:tcPr>
            <w:tcW w:w="2641" w:type="dxa"/>
            <w:vMerge w:val="restart"/>
            <w:vAlign w:val="center"/>
          </w:tcPr>
          <w:p w14:paraId="00DF0A92">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发育程度</w:t>
            </w:r>
          </w:p>
        </w:tc>
        <w:tc>
          <w:tcPr>
            <w:tcW w:w="3923" w:type="dxa"/>
            <w:gridSpan w:val="2"/>
            <w:tcBorders>
              <w:bottom w:val="single" w:color="auto" w:sz="8" w:space="0"/>
            </w:tcBorders>
            <w:vAlign w:val="center"/>
          </w:tcPr>
          <w:p w14:paraId="13D730CB">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发育特征</w:t>
            </w:r>
          </w:p>
        </w:tc>
      </w:tr>
      <w:tr w14:paraId="2873F5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3" w:hRule="atLeast"/>
          <w:jc w:val="center"/>
        </w:trPr>
        <w:tc>
          <w:tcPr>
            <w:tcW w:w="3072" w:type="dxa"/>
            <w:vMerge w:val="continue"/>
            <w:vAlign w:val="center"/>
          </w:tcPr>
          <w:p w14:paraId="3F3BB1BE">
            <w:pPr>
              <w:jc w:val="center"/>
              <w:rPr>
                <w:rFonts w:hint="default" w:ascii="宋体" w:hAnsi="Times New Roman" w:eastAsia="宋体" w:cs="Times New Roman"/>
                <w:sz w:val="18"/>
                <w:lang w:val="en-US" w:eastAsia="zh-CN"/>
              </w:rPr>
            </w:pPr>
          </w:p>
        </w:tc>
        <w:tc>
          <w:tcPr>
            <w:tcW w:w="2641" w:type="dxa"/>
            <w:vMerge w:val="continue"/>
            <w:vAlign w:val="center"/>
          </w:tcPr>
          <w:p w14:paraId="71D00642">
            <w:pPr>
              <w:jc w:val="center"/>
              <w:rPr>
                <w:rFonts w:hint="default" w:ascii="宋体" w:hAnsi="Times New Roman" w:eastAsia="宋体" w:cs="Times New Roman"/>
                <w:sz w:val="18"/>
                <w:lang w:val="en-US" w:eastAsia="zh-CN"/>
              </w:rPr>
            </w:pPr>
          </w:p>
        </w:tc>
        <w:tc>
          <w:tcPr>
            <w:tcW w:w="2177" w:type="dxa"/>
            <w:tcBorders>
              <w:top w:val="single" w:color="auto" w:sz="8" w:space="0"/>
            </w:tcBorders>
            <w:vAlign w:val="center"/>
          </w:tcPr>
          <w:p w14:paraId="6B66B841">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近五年平均沉降速率mm/a</w:t>
            </w:r>
          </w:p>
        </w:tc>
        <w:tc>
          <w:tcPr>
            <w:tcW w:w="1746" w:type="dxa"/>
            <w:tcBorders>
              <w:top w:val="single" w:color="auto" w:sz="8" w:space="0"/>
            </w:tcBorders>
            <w:vAlign w:val="center"/>
          </w:tcPr>
          <w:p w14:paraId="47CEB3B9">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累计沉降量mm</w:t>
            </w:r>
          </w:p>
        </w:tc>
      </w:tr>
      <w:tr w14:paraId="5CF259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72" w:type="dxa"/>
            <w:shd w:val="clear" w:color="auto" w:fill="auto"/>
            <w:vAlign w:val="center"/>
          </w:tcPr>
          <w:p w14:paraId="7F63F25E">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严重</w:t>
            </w:r>
          </w:p>
        </w:tc>
        <w:tc>
          <w:tcPr>
            <w:tcW w:w="2641" w:type="dxa"/>
            <w:shd w:val="clear" w:color="auto" w:fill="auto"/>
            <w:vAlign w:val="center"/>
          </w:tcPr>
          <w:p w14:paraId="1AFCA768">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强发育</w:t>
            </w:r>
          </w:p>
        </w:tc>
        <w:tc>
          <w:tcPr>
            <w:tcW w:w="2177" w:type="dxa"/>
            <w:shd w:val="clear" w:color="auto" w:fill="auto"/>
            <w:vAlign w:val="center"/>
          </w:tcPr>
          <w:p w14:paraId="16885216">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≥30</w:t>
            </w:r>
          </w:p>
        </w:tc>
        <w:tc>
          <w:tcPr>
            <w:tcW w:w="1746" w:type="dxa"/>
            <w:vAlign w:val="center"/>
          </w:tcPr>
          <w:p w14:paraId="00436C4A">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≥800</w:t>
            </w:r>
          </w:p>
        </w:tc>
      </w:tr>
      <w:tr w14:paraId="22AC7B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72" w:type="dxa"/>
            <w:shd w:val="clear" w:color="auto" w:fill="auto"/>
            <w:vAlign w:val="center"/>
          </w:tcPr>
          <w:p w14:paraId="01A1C99D">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一般</w:t>
            </w:r>
          </w:p>
        </w:tc>
        <w:tc>
          <w:tcPr>
            <w:tcW w:w="2641" w:type="dxa"/>
            <w:shd w:val="clear" w:color="auto" w:fill="auto"/>
            <w:vAlign w:val="center"/>
          </w:tcPr>
          <w:p w14:paraId="1FE37465">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中等发育</w:t>
            </w:r>
          </w:p>
        </w:tc>
        <w:tc>
          <w:tcPr>
            <w:tcW w:w="2177" w:type="dxa"/>
            <w:shd w:val="clear" w:color="auto" w:fill="auto"/>
            <w:vAlign w:val="center"/>
          </w:tcPr>
          <w:p w14:paraId="221947E1">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10~30</w:t>
            </w:r>
          </w:p>
        </w:tc>
        <w:tc>
          <w:tcPr>
            <w:tcW w:w="1746" w:type="dxa"/>
            <w:vAlign w:val="center"/>
          </w:tcPr>
          <w:p w14:paraId="32BADB77">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300~800</w:t>
            </w:r>
          </w:p>
        </w:tc>
      </w:tr>
      <w:tr w14:paraId="7D6831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72" w:type="dxa"/>
            <w:shd w:val="clear" w:color="auto" w:fill="auto"/>
            <w:vAlign w:val="center"/>
          </w:tcPr>
          <w:p w14:paraId="00338640">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轻微</w:t>
            </w:r>
          </w:p>
        </w:tc>
        <w:tc>
          <w:tcPr>
            <w:tcW w:w="2641" w:type="dxa"/>
            <w:shd w:val="clear" w:color="auto" w:fill="auto"/>
            <w:vAlign w:val="center"/>
          </w:tcPr>
          <w:p w14:paraId="49C71DBF">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弱发育</w:t>
            </w:r>
          </w:p>
        </w:tc>
        <w:tc>
          <w:tcPr>
            <w:tcW w:w="2177" w:type="dxa"/>
            <w:shd w:val="clear" w:color="auto" w:fill="auto"/>
            <w:vAlign w:val="center"/>
          </w:tcPr>
          <w:p w14:paraId="4395F0A4">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≤10</w:t>
            </w:r>
          </w:p>
        </w:tc>
        <w:tc>
          <w:tcPr>
            <w:tcW w:w="1746" w:type="dxa"/>
            <w:vAlign w:val="center"/>
          </w:tcPr>
          <w:p w14:paraId="2F09036C">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≤300</w:t>
            </w:r>
          </w:p>
        </w:tc>
      </w:tr>
      <w:tr w14:paraId="54140C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36" w:type="dxa"/>
            <w:gridSpan w:val="4"/>
            <w:shd w:val="clear" w:color="auto" w:fill="auto"/>
            <w:vAlign w:val="center"/>
          </w:tcPr>
          <w:p w14:paraId="4A79CD9D">
            <w:pPr>
              <w:pStyle w:val="49"/>
              <w:numPr>
                <w:ilvl w:val="0"/>
                <w:numId w:val="11"/>
              </w:numPr>
              <w:rPr>
                <w:rFonts w:hint="eastAsia" w:ascii="宋体" w:hAnsi="宋体" w:eastAsia="宋体" w:cs="宋体"/>
                <w:b w:val="0"/>
                <w:bCs w:val="0"/>
                <w:color w:val="auto"/>
                <w:spacing w:val="0"/>
                <w:w w:val="100"/>
                <w:position w:val="0"/>
                <w:sz w:val="18"/>
                <w:szCs w:val="21"/>
                <w:shd w:val="clear" w:color="auto" w:fill="auto"/>
                <w:vertAlign w:val="baseline"/>
                <w:lang w:val="en-US" w:eastAsia="zh-CN"/>
              </w:rPr>
            </w:pPr>
            <w:r>
              <w:rPr>
                <w:rFonts w:hint="eastAsia" w:hAnsi="Times New Roman" w:eastAsia="宋体" w:cs="Times New Roman"/>
                <w:lang w:val="en-US" w:eastAsia="zh-CN"/>
              </w:rPr>
              <w:t>上述</w:t>
            </w:r>
            <w:r>
              <w:rPr>
                <w:rFonts w:hint="eastAsia" w:cs="Times New Roman"/>
                <w:lang w:val="en-US" w:eastAsia="zh-CN"/>
              </w:rPr>
              <w:t>两项</w:t>
            </w:r>
            <w:r>
              <w:rPr>
                <w:rFonts w:hint="eastAsia" w:hAnsi="Times New Roman" w:eastAsia="宋体" w:cs="Times New Roman"/>
                <w:lang w:val="en-US" w:eastAsia="zh-CN"/>
              </w:rPr>
              <w:t>因素满足一项即可，并按照强至弱顺序确定</w:t>
            </w:r>
          </w:p>
        </w:tc>
      </w:tr>
    </w:tbl>
    <w:p w14:paraId="7AB219C2">
      <w:pPr>
        <w:pStyle w:val="36"/>
        <w:rPr>
          <w:rFonts w:hint="default" w:hAnsi="Times New Roman" w:cs="Times New Roman"/>
          <w:lang w:val="en-US" w:eastAsia="zh-CN"/>
        </w:rPr>
      </w:pPr>
      <w:bookmarkStart w:id="78" w:name="_Toc17111"/>
      <w:r>
        <w:rPr>
          <w:rFonts w:hint="eastAsia" w:hAnsi="Times New Roman" w:cs="Times New Roman"/>
          <w:lang w:val="en-US" w:eastAsia="zh-CN"/>
        </w:rPr>
        <w:t>静力水准仪</w:t>
      </w:r>
      <w:r>
        <w:rPr>
          <w:rFonts w:hint="default" w:hAnsi="Times New Roman" w:cs="Times New Roman"/>
          <w:lang w:val="en-US" w:eastAsia="zh-CN"/>
        </w:rPr>
        <w:t>选择和标定</w:t>
      </w:r>
      <w:bookmarkEnd w:id="78"/>
    </w:p>
    <w:p w14:paraId="4DC63C96">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应根据地面沉降监测目的、分层标组设计要求和应用场景选择监测仪器类型，详见附录A.5。</w:t>
      </w:r>
    </w:p>
    <w:p w14:paraId="049F2F67">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应按实际测量量程为仪器量程的二分之一的原则，根据区域沉降速率合理选择静力水准仪量程。详见表2的规定。</w:t>
      </w:r>
    </w:p>
    <w:p w14:paraId="3B12250E">
      <w:pPr>
        <w:pStyle w:val="30"/>
        <w:rPr>
          <w:rFonts w:hint="eastAsia" w:hAnsi="Times New Roman" w:cs="Times New Roman"/>
          <w:lang w:val="en-US" w:eastAsia="zh-CN"/>
        </w:rPr>
      </w:pPr>
    </w:p>
    <w:p w14:paraId="2F96918F">
      <w:pPr>
        <w:pStyle w:val="30"/>
        <w:rPr>
          <w:rFonts w:hint="eastAsia" w:hAnsi="Times New Roman" w:cs="Times New Roman"/>
          <w:lang w:val="en-US" w:eastAsia="zh-CN"/>
        </w:rPr>
      </w:pPr>
    </w:p>
    <w:p w14:paraId="3C5E6E6D">
      <w:pPr>
        <w:pStyle w:val="30"/>
        <w:rPr>
          <w:rFonts w:hint="default" w:hAnsi="Times New Roman" w:cs="Times New Roman"/>
          <w:lang w:val="en-US" w:eastAsia="zh-CN"/>
        </w:rPr>
      </w:pPr>
    </w:p>
    <w:p w14:paraId="7E731C8D">
      <w:pPr>
        <w:pStyle w:val="48"/>
        <w:numPr>
          <w:ilvl w:val="0"/>
          <w:numId w:val="0"/>
        </w:numPr>
        <w:tabs>
          <w:tab w:val="left" w:pos="360"/>
        </w:tabs>
        <w:ind w:left="0" w:leftChars="0" w:firstLine="0" w:firstLineChars="0"/>
        <w:rPr>
          <w:rFonts w:hint="default" w:hAnsi="Times New Roman" w:cs="Times New Roman"/>
          <w:lang w:val="en-US" w:eastAsia="zh-CN"/>
        </w:rPr>
      </w:pPr>
      <w:r>
        <w:rPr>
          <w:rFonts w:hint="default" w:ascii="黑体" w:hAnsi="Times New Roman" w:eastAsia="黑体" w:cs="Times New Roman"/>
          <w:sz w:val="21"/>
          <w:lang w:val="en-US" w:eastAsia="zh-CN" w:bidi="ar-SA"/>
        </w:rPr>
        <w:t>表2　</w:t>
      </w:r>
      <w:r>
        <w:rPr>
          <w:rFonts w:hint="eastAsia" w:hAnsi="Times New Roman" w:cs="Times New Roman"/>
          <w:lang w:val="en-US" w:eastAsia="zh-CN"/>
        </w:rPr>
        <w:t>静力</w:t>
      </w:r>
      <w:r>
        <w:rPr>
          <w:rFonts w:hint="default" w:hAnsi="Times New Roman" w:cs="Times New Roman"/>
          <w:lang w:val="en-US" w:eastAsia="zh-CN"/>
        </w:rPr>
        <w:t>水准仪量程选择</w:t>
      </w:r>
    </w:p>
    <w:tbl>
      <w:tblPr>
        <w:tblStyle w:val="11"/>
        <w:tblW w:w="95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150"/>
        <w:gridCol w:w="4421"/>
      </w:tblGrid>
      <w:tr w14:paraId="6A7608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5150" w:type="dxa"/>
            <w:tcBorders>
              <w:bottom w:val="single" w:color="auto" w:sz="8" w:space="0"/>
            </w:tcBorders>
            <w:vAlign w:val="center"/>
          </w:tcPr>
          <w:p w14:paraId="49C7044F">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地面沉降等级</w:t>
            </w:r>
          </w:p>
        </w:tc>
        <w:tc>
          <w:tcPr>
            <w:tcW w:w="4421" w:type="dxa"/>
            <w:tcBorders>
              <w:bottom w:val="single" w:color="auto" w:sz="8" w:space="0"/>
            </w:tcBorders>
            <w:vAlign w:val="center"/>
          </w:tcPr>
          <w:p w14:paraId="4D017FE7">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仪器量程选择（mm）</w:t>
            </w:r>
          </w:p>
        </w:tc>
      </w:tr>
      <w:tr w14:paraId="01B2A5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50" w:type="dxa"/>
            <w:tcBorders>
              <w:top w:val="single" w:color="auto" w:sz="8" w:space="0"/>
            </w:tcBorders>
            <w:vAlign w:val="center"/>
          </w:tcPr>
          <w:p w14:paraId="4C97F121">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轻微</w:t>
            </w:r>
          </w:p>
        </w:tc>
        <w:tc>
          <w:tcPr>
            <w:tcW w:w="4421" w:type="dxa"/>
            <w:tcBorders>
              <w:top w:val="single" w:color="auto" w:sz="8" w:space="0"/>
            </w:tcBorders>
            <w:vAlign w:val="center"/>
          </w:tcPr>
          <w:p w14:paraId="67D2A3DF">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150</w:t>
            </w:r>
          </w:p>
        </w:tc>
      </w:tr>
      <w:tr w14:paraId="342331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50" w:type="dxa"/>
            <w:vAlign w:val="center"/>
          </w:tcPr>
          <w:p w14:paraId="4F8F8D48">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一般</w:t>
            </w:r>
          </w:p>
        </w:tc>
        <w:tc>
          <w:tcPr>
            <w:tcW w:w="4421" w:type="dxa"/>
            <w:vAlign w:val="center"/>
          </w:tcPr>
          <w:p w14:paraId="2CE5729B">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200</w:t>
            </w:r>
          </w:p>
        </w:tc>
      </w:tr>
      <w:tr w14:paraId="175599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150" w:type="dxa"/>
            <w:vAlign w:val="center"/>
          </w:tcPr>
          <w:p w14:paraId="5B4E1A29">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严重</w:t>
            </w:r>
          </w:p>
        </w:tc>
        <w:tc>
          <w:tcPr>
            <w:tcW w:w="4421" w:type="dxa"/>
            <w:vAlign w:val="center"/>
          </w:tcPr>
          <w:p w14:paraId="51F97492">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250-400</w:t>
            </w:r>
          </w:p>
        </w:tc>
      </w:tr>
    </w:tbl>
    <w:p w14:paraId="3A9756D2">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静力水准仪应有液位观察窗和设备安装水平检测装置，便于运行维护。</w:t>
      </w:r>
    </w:p>
    <w:p w14:paraId="5BF0DBE3">
      <w:pPr>
        <w:pStyle w:val="40"/>
        <w:spacing w:before="156" w:after="156"/>
        <w:rPr>
          <w:rFonts w:hint="default" w:hAnsi="Times New Roman" w:cs="Times New Roman"/>
          <w:lang w:val="en-US" w:eastAsia="zh-CN"/>
        </w:rPr>
      </w:pPr>
      <w:r>
        <w:rPr>
          <w:rFonts w:hint="eastAsia" w:hAnsi="Times New Roman" w:cs="Times New Roman"/>
          <w:lang w:val="en-US" w:eastAsia="zh-CN"/>
        </w:rPr>
        <w:t xml:space="preserve">静力水准仪标定 </w:t>
      </w:r>
    </w:p>
    <w:p w14:paraId="44F7964F">
      <w:pPr>
        <w:pStyle w:val="42"/>
        <w:rPr>
          <w:rFonts w:hint="eastAsia"/>
          <w:lang w:val="en-US" w:eastAsia="zh-CN"/>
        </w:rPr>
      </w:pPr>
      <w:r>
        <w:rPr>
          <w:rFonts w:hint="eastAsia"/>
          <w:lang w:val="en-US" w:eastAsia="zh-CN"/>
        </w:rPr>
        <w:t>静力水准仪应具备有效的出厂计量标定证书，标明示值误差、重复性、温度特性等核心精度参数，指标应满足选型要求。</w:t>
      </w:r>
    </w:p>
    <w:p w14:paraId="423FE86D">
      <w:pPr>
        <w:pStyle w:val="42"/>
        <w:rPr>
          <w:rFonts w:hint="default"/>
          <w:lang w:val="en-US" w:eastAsia="zh-CN"/>
        </w:rPr>
      </w:pPr>
      <w:r>
        <w:rPr>
          <w:rFonts w:hint="eastAsia"/>
          <w:lang w:val="en-US" w:eastAsia="zh-CN"/>
        </w:rPr>
        <w:t>仪器进场安装前，宜按不低于10%的比例抽样复检，同批次仪器液位测量一致性偏差不应大于0.02mm。</w:t>
      </w:r>
    </w:p>
    <w:p w14:paraId="635B0827">
      <w:pPr>
        <w:pStyle w:val="36"/>
        <w:rPr>
          <w:rFonts w:hint="default"/>
          <w:lang w:val="en-US" w:eastAsia="zh-CN"/>
        </w:rPr>
      </w:pPr>
      <w:bookmarkStart w:id="79" w:name="_Toc3143"/>
      <w:r>
        <w:rPr>
          <w:rFonts w:hint="default"/>
          <w:lang w:val="en-US" w:eastAsia="zh-CN"/>
        </w:rPr>
        <w:t>液体选择</w:t>
      </w:r>
      <w:r>
        <w:rPr>
          <w:rFonts w:hint="eastAsia"/>
          <w:lang w:val="en-US" w:eastAsia="zh-CN"/>
        </w:rPr>
        <w:t>和</w:t>
      </w:r>
      <w:r>
        <w:rPr>
          <w:rFonts w:hint="default"/>
          <w:lang w:val="en-US" w:eastAsia="zh-CN"/>
        </w:rPr>
        <w:t>标定</w:t>
      </w:r>
      <w:bookmarkEnd w:id="79"/>
    </w:p>
    <w:p w14:paraId="75163798">
      <w:pPr>
        <w:pStyle w:val="40"/>
        <w:spacing w:before="156" w:after="156"/>
        <w:rPr>
          <w:rFonts w:hint="default"/>
          <w:lang w:val="en-US" w:eastAsia="zh-CN"/>
        </w:rPr>
      </w:pPr>
      <w:r>
        <w:rPr>
          <w:rFonts w:hint="default"/>
          <w:lang w:val="en-US" w:eastAsia="zh-CN"/>
        </w:rPr>
        <w:t>液体</w:t>
      </w:r>
      <w:r>
        <w:rPr>
          <w:rFonts w:hint="eastAsia"/>
          <w:lang w:val="en-US" w:eastAsia="zh-CN"/>
        </w:rPr>
        <w:t>选择</w:t>
      </w:r>
    </w:p>
    <w:p w14:paraId="7060F50A">
      <w:pPr>
        <w:pStyle w:val="42"/>
        <w:numPr>
          <w:ilvl w:val="0"/>
          <w:numId w:val="12"/>
        </w:numPr>
        <w:rPr>
          <w:rFonts w:hint="eastAsia"/>
          <w:lang w:val="en-US" w:eastAsia="zh-CN"/>
        </w:rPr>
      </w:pPr>
      <w:r>
        <w:rPr>
          <w:rFonts w:hint="eastAsia"/>
          <w:lang w:val="en-US" w:eastAsia="zh-CN"/>
        </w:rPr>
        <w:t>静力水准系统所用液体介质应同时满足‌高精度、低热膨胀、化学惰性、长期稳定‌四大核心指标。</w:t>
      </w:r>
      <w:r>
        <w:rPr>
          <w:rFonts w:hint="default"/>
          <w:lang w:val="en-US" w:eastAsia="zh-CN"/>
        </w:rPr>
        <w:t>常用液体性能参数见</w:t>
      </w:r>
      <w:r>
        <w:rPr>
          <w:rFonts w:hint="eastAsia"/>
          <w:lang w:val="en-US" w:eastAsia="zh-CN"/>
        </w:rPr>
        <w:t>附录A.6。</w:t>
      </w:r>
    </w:p>
    <w:p w14:paraId="2B887C7E">
      <w:pPr>
        <w:pStyle w:val="42"/>
        <w:numPr>
          <w:ilvl w:val="0"/>
          <w:numId w:val="12"/>
        </w:numPr>
        <w:rPr>
          <w:rFonts w:hint="eastAsia"/>
          <w:lang w:val="en-US" w:eastAsia="zh-CN"/>
        </w:rPr>
      </w:pPr>
      <w:r>
        <w:rPr>
          <w:rFonts w:hint="eastAsia"/>
          <w:lang w:val="en-US" w:eastAsia="zh-CN"/>
        </w:rPr>
        <w:t>因液体具有温度敏感性，选择确定后，应进行温度特性试验，并进行温度校验。同一项目监测期内应使用同一种液体，不可更换。如因特殊原因更换，应重新进行温度校正。</w:t>
      </w:r>
    </w:p>
    <w:p w14:paraId="207040D3">
      <w:pPr>
        <w:pStyle w:val="40"/>
        <w:spacing w:before="156" w:after="156"/>
        <w:rPr>
          <w:rFonts w:hint="default"/>
          <w:lang w:val="en-US" w:eastAsia="zh-CN"/>
        </w:rPr>
      </w:pPr>
      <w:r>
        <w:rPr>
          <w:rFonts w:hint="default"/>
          <w:lang w:val="en-US" w:eastAsia="zh-CN"/>
        </w:rPr>
        <w:t>液体</w:t>
      </w:r>
      <w:r>
        <w:rPr>
          <w:rFonts w:hint="eastAsia"/>
          <w:lang w:val="en-US" w:eastAsia="zh-CN"/>
        </w:rPr>
        <w:t>标定</w:t>
      </w:r>
    </w:p>
    <w:p w14:paraId="33C1376C">
      <w:pPr>
        <w:pStyle w:val="42"/>
        <w:numPr>
          <w:ilvl w:val="0"/>
          <w:numId w:val="13"/>
        </w:numPr>
        <w:rPr>
          <w:rFonts w:hint="eastAsia"/>
          <w:lang w:val="en-US" w:eastAsia="zh-CN"/>
        </w:rPr>
      </w:pPr>
      <w:r>
        <w:rPr>
          <w:rFonts w:hint="eastAsia"/>
          <w:lang w:val="en-US" w:eastAsia="zh-CN"/>
        </w:rPr>
        <w:t>项目所用液体应逐批次标定，标定内容至少包括标准温度下的液体密度、工作温度区间内的热膨胀系数。</w:t>
      </w:r>
    </w:p>
    <w:p w14:paraId="5CDA05F4">
      <w:pPr>
        <w:pStyle w:val="42"/>
        <w:numPr>
          <w:ilvl w:val="0"/>
          <w:numId w:val="13"/>
        </w:numPr>
        <w:rPr>
          <w:rFonts w:hint="default"/>
          <w:lang w:val="en-US" w:eastAsia="zh-CN"/>
        </w:rPr>
      </w:pPr>
      <w:r>
        <w:rPr>
          <w:rFonts w:hint="eastAsia"/>
          <w:lang w:val="en-US" w:eastAsia="zh-CN"/>
        </w:rPr>
        <w:t>液体标定结果应作为沉降量计算、温度修正的基础参数，与监测数据一并归档。</w:t>
      </w:r>
    </w:p>
    <w:bookmarkEnd w:id="74"/>
    <w:bookmarkEnd w:id="75"/>
    <w:bookmarkEnd w:id="76"/>
    <w:p w14:paraId="260EC90B">
      <w:pPr>
        <w:pStyle w:val="36"/>
        <w:rPr>
          <w:rFonts w:hint="eastAsia"/>
          <w:lang w:val="en-US" w:eastAsia="zh-CN"/>
        </w:rPr>
      </w:pPr>
      <w:bookmarkStart w:id="80" w:name="_Toc17191"/>
      <w:bookmarkStart w:id="81" w:name="_Toc14814"/>
      <w:bookmarkStart w:id="82" w:name="_Toc13271"/>
      <w:bookmarkStart w:id="83" w:name="_Toc26394"/>
      <w:r>
        <w:rPr>
          <w:rFonts w:hint="eastAsia"/>
          <w:lang w:val="en-US" w:eastAsia="zh-CN"/>
        </w:rPr>
        <w:t>静力水准系统保护形式</w:t>
      </w:r>
      <w:bookmarkEnd w:id="80"/>
      <w:bookmarkEnd w:id="81"/>
      <w:bookmarkEnd w:id="82"/>
    </w:p>
    <w:p w14:paraId="75988B98">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静力水准系统安装形式，根据对设备的保护形式分为标房、保护桶、窨井三种，其优缺点详见附录A.4。</w:t>
      </w:r>
    </w:p>
    <w:p w14:paraId="716C9C4E">
      <w:pPr>
        <w:pStyle w:val="40"/>
        <w:spacing w:before="156" w:after="156"/>
        <w:rPr>
          <w:rFonts w:hint="eastAsia" w:ascii="宋体" w:hAnsi="宋体" w:eastAsia="宋体" w:cs="宋体"/>
          <w:lang w:val="en-US" w:eastAsia="zh-CN"/>
        </w:rPr>
      </w:pPr>
      <w:r>
        <w:rPr>
          <w:rFonts w:hint="eastAsia" w:ascii="宋体" w:hAnsi="宋体" w:eastAsia="宋体" w:cs="宋体"/>
        </w:rPr>
        <w:t>保护形式应根据区域气候、场地条件、监测精度、运维需求综合选定，严寒地区宜优先选用标房形式。</w:t>
      </w:r>
    </w:p>
    <w:p w14:paraId="052DD5E4">
      <w:pPr>
        <w:pStyle w:val="36"/>
        <w:rPr>
          <w:rFonts w:hint="default"/>
          <w:lang w:val="en-US" w:eastAsia="zh-CN"/>
        </w:rPr>
      </w:pPr>
      <w:bookmarkStart w:id="84" w:name="_Toc22138"/>
      <w:r>
        <w:rPr>
          <w:rFonts w:hint="default"/>
          <w:lang w:val="en-US" w:eastAsia="zh-CN"/>
        </w:rPr>
        <w:t>其他要求</w:t>
      </w:r>
      <w:bookmarkEnd w:id="84"/>
    </w:p>
    <w:p w14:paraId="3A47E010">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液、气管保护管（穿线管）宜采用PE管，内径≥100mm，壁厚不应小于8mm，管道转弯偏转角≤45°。</w:t>
      </w:r>
    </w:p>
    <w:p w14:paraId="262CE513">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液管和气管应采用内径≥8mm的PE聚乙烯管；数据线规格应不小于4×1mm²。</w:t>
      </w:r>
    </w:p>
    <w:p w14:paraId="2FDB4D8E">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系统供电设计应满足单台仪器≥20W的连续供电要求，仪器及线路应具备6000V浪涌保护与抗雷击能力。</w:t>
      </w:r>
    </w:p>
    <w:bookmarkEnd w:id="83"/>
    <w:p w14:paraId="66A55AFB">
      <w:pPr>
        <w:pStyle w:val="35"/>
        <w:rPr>
          <w:rFonts w:hint="default"/>
          <w:lang w:val="en-US" w:eastAsia="zh-CN"/>
        </w:rPr>
      </w:pPr>
      <w:bookmarkStart w:id="85" w:name="_Toc1154"/>
      <w:bookmarkStart w:id="86" w:name="_Toc31579"/>
      <w:bookmarkStart w:id="87" w:name="_Toc3880"/>
      <w:bookmarkStart w:id="88" w:name="_Toc3249"/>
      <w:r>
        <w:rPr>
          <w:rFonts w:hint="default"/>
          <w:lang w:val="en-US" w:eastAsia="zh-CN"/>
        </w:rPr>
        <w:t>监测仪器安装与调试</w:t>
      </w:r>
      <w:bookmarkEnd w:id="85"/>
      <w:bookmarkEnd w:id="86"/>
      <w:bookmarkEnd w:id="87"/>
      <w:bookmarkEnd w:id="88"/>
    </w:p>
    <w:p w14:paraId="45980153">
      <w:pPr>
        <w:pStyle w:val="36"/>
        <w:rPr>
          <w:rFonts w:hint="default"/>
          <w:lang w:val="en-US" w:eastAsia="zh-CN"/>
        </w:rPr>
      </w:pPr>
      <w:bookmarkStart w:id="89" w:name="_Toc7194"/>
      <w:bookmarkStart w:id="90" w:name="_Toc27085"/>
      <w:bookmarkStart w:id="91" w:name="_Toc8899"/>
      <w:bookmarkStart w:id="92" w:name="_Toc22233"/>
      <w:r>
        <w:rPr>
          <w:rFonts w:hint="default"/>
          <w:lang w:val="en-US" w:eastAsia="zh-CN"/>
        </w:rPr>
        <w:t>监测仪器安装</w:t>
      </w:r>
      <w:bookmarkEnd w:id="89"/>
    </w:p>
    <w:p w14:paraId="53D03925">
      <w:pPr>
        <w:pStyle w:val="40"/>
        <w:spacing w:before="156" w:after="156"/>
        <w:rPr>
          <w:rFonts w:hint="default"/>
          <w:lang w:val="en-US" w:eastAsia="zh-CN"/>
        </w:rPr>
      </w:pPr>
      <w:r>
        <w:rPr>
          <w:rFonts w:hint="eastAsia"/>
          <w:lang w:val="en-US" w:eastAsia="zh-CN"/>
        </w:rPr>
        <w:t>现场踏勘</w:t>
      </w:r>
    </w:p>
    <w:p w14:paraId="5E523B84">
      <w:pPr>
        <w:pStyle w:val="30"/>
        <w:rPr>
          <w:rFonts w:hint="eastAsia"/>
        </w:rPr>
      </w:pPr>
      <w:r>
        <w:rPr>
          <w:rFonts w:hint="eastAsia"/>
        </w:rPr>
        <w:t>仪器安装前应开展现场踏勘，复核设计文件与现场条件的匹配性，确认具备安装条件后方可进场施工。踏勘应包括下列主要内容：</w:t>
      </w:r>
    </w:p>
    <w:p w14:paraId="746466D5">
      <w:pPr>
        <w:pStyle w:val="42"/>
        <w:numPr>
          <w:ilvl w:val="0"/>
          <w:numId w:val="14"/>
        </w:numPr>
        <w:rPr>
          <w:rFonts w:hint="eastAsia"/>
          <w:lang w:val="en-US" w:eastAsia="zh-CN"/>
        </w:rPr>
      </w:pPr>
      <w:r>
        <w:rPr>
          <w:rFonts w:hint="eastAsia"/>
          <w:lang w:val="en-US" w:eastAsia="zh-CN"/>
        </w:rPr>
        <w:t>复核基岩标、分层标、地面标的孔位、标头高程与保护管状态，确认与设计文件一致；</w:t>
      </w:r>
    </w:p>
    <w:p w14:paraId="207CC9EA">
      <w:pPr>
        <w:pStyle w:val="42"/>
        <w:numPr>
          <w:ilvl w:val="0"/>
          <w:numId w:val="14"/>
        </w:numPr>
        <w:rPr>
          <w:rFonts w:hint="eastAsia"/>
          <w:lang w:val="en-US" w:eastAsia="zh-CN"/>
        </w:rPr>
      </w:pPr>
      <w:r>
        <w:rPr>
          <w:rFonts w:hint="eastAsia"/>
          <w:lang w:val="en-US" w:eastAsia="zh-CN"/>
        </w:rPr>
        <w:t>核查场地地形、周边环境、排水条件及空间尺寸，确认满足仪器安装与后期运维要求；</w:t>
      </w:r>
    </w:p>
    <w:p w14:paraId="28F314CF">
      <w:pPr>
        <w:pStyle w:val="42"/>
        <w:numPr>
          <w:ilvl w:val="0"/>
          <w:numId w:val="14"/>
        </w:numPr>
        <w:rPr>
          <w:rFonts w:hint="eastAsia"/>
          <w:lang w:val="en-US" w:eastAsia="zh-CN"/>
        </w:rPr>
      </w:pPr>
      <w:r>
        <w:rPr>
          <w:rFonts w:hint="eastAsia"/>
          <w:lang w:val="en-US" w:eastAsia="zh-CN"/>
        </w:rPr>
        <w:t>复核液管、气管、数据线的布设路由，确认无障碍、无冲突，符合设计走向；</w:t>
      </w:r>
    </w:p>
    <w:p w14:paraId="51196FD4">
      <w:pPr>
        <w:pStyle w:val="42"/>
        <w:numPr>
          <w:ilvl w:val="0"/>
          <w:numId w:val="14"/>
        </w:numPr>
        <w:rPr>
          <w:rFonts w:hint="eastAsia"/>
          <w:lang w:val="en-US" w:eastAsia="zh-CN"/>
        </w:rPr>
      </w:pPr>
      <w:r>
        <w:rPr>
          <w:rFonts w:hint="eastAsia"/>
          <w:lang w:val="en-US" w:eastAsia="zh-CN"/>
        </w:rPr>
        <w:t>核查供电、通信及防雷接地的现场条件，确认可满足系统运行要求；</w:t>
      </w:r>
    </w:p>
    <w:p w14:paraId="3388501F">
      <w:pPr>
        <w:pStyle w:val="42"/>
        <w:numPr>
          <w:ilvl w:val="0"/>
          <w:numId w:val="14"/>
        </w:numPr>
        <w:rPr>
          <w:rFonts w:hint="eastAsia"/>
          <w:lang w:val="en-US" w:eastAsia="zh-CN"/>
        </w:rPr>
      </w:pPr>
      <w:r>
        <w:rPr>
          <w:rFonts w:hint="eastAsia"/>
          <w:lang w:val="en-US" w:eastAsia="zh-CN"/>
        </w:rPr>
        <w:t>识别现场振动源、电磁干扰源、积水风险等不利因素，确认防护方案可行。</w:t>
      </w:r>
    </w:p>
    <w:bookmarkEnd w:id="90"/>
    <w:bookmarkEnd w:id="91"/>
    <w:bookmarkEnd w:id="92"/>
    <w:p w14:paraId="01402157">
      <w:pPr>
        <w:pStyle w:val="40"/>
        <w:spacing w:before="156" w:after="156"/>
        <w:rPr>
          <w:rFonts w:hint="eastAsia"/>
          <w:lang w:val="en-US" w:eastAsia="zh-CN"/>
        </w:rPr>
      </w:pPr>
      <w:r>
        <w:rPr>
          <w:rFonts w:hint="eastAsia"/>
          <w:lang w:val="en-US" w:eastAsia="zh-CN"/>
        </w:rPr>
        <w:t>安装技术要求</w:t>
      </w:r>
    </w:p>
    <w:p w14:paraId="107344B5">
      <w:pPr>
        <w:pStyle w:val="42"/>
        <w:keepNext w:val="0"/>
        <w:keepLines w:val="0"/>
        <w:pageBreakBefore w:val="0"/>
        <w:widowControl/>
        <w:numPr>
          <w:ilvl w:val="0"/>
          <w:numId w:val="15"/>
        </w:numPr>
        <w:kinsoku/>
        <w:wordWrap/>
        <w:overflowPunct/>
        <w:topLinePunct w:val="0"/>
        <w:autoSpaceDE/>
        <w:autoSpaceDN/>
        <w:bidi w:val="0"/>
        <w:adjustRightInd/>
        <w:snapToGrid/>
        <w:ind w:left="0" w:firstLine="420" w:firstLineChars="200"/>
        <w:textAlignment w:val="auto"/>
        <w:rPr>
          <w:rFonts w:hint="default"/>
          <w:lang w:val="en-US" w:eastAsia="zh-CN"/>
        </w:rPr>
      </w:pPr>
      <w:r>
        <w:rPr>
          <w:rFonts w:hint="default"/>
          <w:lang w:val="en-US" w:eastAsia="zh-CN"/>
        </w:rPr>
        <w:t>采用保护桶、窨井安装形式的标组，基岩标、分层标和地面标孔口应采用混凝土墩防护</w:t>
      </w:r>
      <w:r>
        <w:rPr>
          <w:rFonts w:hint="eastAsia"/>
          <w:lang w:val="en-US" w:eastAsia="zh-CN"/>
        </w:rPr>
        <w:t>。</w:t>
      </w:r>
      <w:r>
        <w:rPr>
          <w:rFonts w:hint="default"/>
          <w:lang w:val="en-US" w:eastAsia="zh-CN"/>
        </w:rPr>
        <w:t>混凝土墩高出地面不小于200mm</w:t>
      </w:r>
      <w:r>
        <w:rPr>
          <w:rFonts w:hint="eastAsia"/>
          <w:lang w:val="en-US" w:eastAsia="zh-CN"/>
        </w:rPr>
        <w:t>；</w:t>
      </w:r>
      <w:r>
        <w:rPr>
          <w:rFonts w:hint="default"/>
          <w:lang w:val="en-US" w:eastAsia="zh-CN"/>
        </w:rPr>
        <w:t>套管高于混凝土墩顶面不小于150mm</w:t>
      </w:r>
      <w:r>
        <w:rPr>
          <w:rFonts w:hint="eastAsia"/>
          <w:lang w:val="en-US" w:eastAsia="zh-CN"/>
        </w:rPr>
        <w:t>；</w:t>
      </w:r>
      <w:r>
        <w:rPr>
          <w:rFonts w:hint="default"/>
          <w:lang w:val="en-US" w:eastAsia="zh-CN"/>
        </w:rPr>
        <w:t>标头高于套管顶面不小于150mm</w:t>
      </w:r>
      <w:r>
        <w:rPr>
          <w:rFonts w:hint="eastAsia"/>
          <w:lang w:val="en-US" w:eastAsia="zh-CN"/>
        </w:rPr>
        <w:t>；</w:t>
      </w:r>
      <w:r>
        <w:rPr>
          <w:rFonts w:hint="default"/>
          <w:lang w:val="en-US" w:eastAsia="zh-CN"/>
        </w:rPr>
        <w:t>标杆与套管</w:t>
      </w:r>
      <w:r>
        <w:rPr>
          <w:rFonts w:hint="eastAsia"/>
          <w:lang w:val="en-US" w:eastAsia="zh-CN"/>
        </w:rPr>
        <w:t>顶盖</w:t>
      </w:r>
      <w:r>
        <w:rPr>
          <w:rFonts w:hint="default"/>
          <w:lang w:val="en-US" w:eastAsia="zh-CN"/>
        </w:rPr>
        <w:t>环状间隙</w:t>
      </w:r>
      <w:r>
        <w:rPr>
          <w:rFonts w:hint="eastAsia"/>
          <w:lang w:val="en-US" w:eastAsia="zh-CN"/>
        </w:rPr>
        <w:t>应为</w:t>
      </w:r>
      <w:r>
        <w:rPr>
          <w:rFonts w:hint="default"/>
          <w:lang w:val="en-US" w:eastAsia="zh-CN"/>
        </w:rPr>
        <w:t>2</w:t>
      </w:r>
      <w:r>
        <w:rPr>
          <w:rFonts w:hint="eastAsia"/>
          <w:lang w:val="en-US" w:eastAsia="zh-CN"/>
        </w:rPr>
        <w:t>mm</w:t>
      </w:r>
      <w:r>
        <w:rPr>
          <w:rFonts w:hint="default"/>
          <w:lang w:val="en-US" w:eastAsia="zh-CN"/>
        </w:rPr>
        <w:t>-</w:t>
      </w:r>
      <w:r>
        <w:rPr>
          <w:rFonts w:hint="eastAsia"/>
          <w:lang w:val="en-US" w:eastAsia="zh-CN"/>
        </w:rPr>
        <w:t>3</w:t>
      </w:r>
      <w:r>
        <w:rPr>
          <w:rFonts w:hint="default"/>
          <w:lang w:val="en-US" w:eastAsia="zh-CN"/>
        </w:rPr>
        <w:t>㎜</w:t>
      </w:r>
      <w:r>
        <w:rPr>
          <w:rFonts w:hint="eastAsia"/>
          <w:lang w:val="en-US" w:eastAsia="zh-CN"/>
        </w:rPr>
        <w:t>；</w:t>
      </w:r>
      <w:r>
        <w:rPr>
          <w:rFonts w:hint="default"/>
          <w:lang w:val="en-US" w:eastAsia="zh-CN"/>
        </w:rPr>
        <w:t>混凝土墩台与标组套管不可浇筑固定，标组套管与混凝土基座</w:t>
      </w:r>
      <w:r>
        <w:rPr>
          <w:rFonts w:hint="eastAsia"/>
          <w:lang w:val="en-US" w:eastAsia="zh-CN"/>
        </w:rPr>
        <w:t>内部</w:t>
      </w:r>
      <w:r>
        <w:rPr>
          <w:rFonts w:hint="default"/>
          <w:lang w:val="en-US" w:eastAsia="zh-CN"/>
        </w:rPr>
        <w:t>环状间隙不小于300㎜</w:t>
      </w:r>
      <w:r>
        <w:rPr>
          <w:rFonts w:hint="eastAsia"/>
          <w:lang w:val="en-US" w:eastAsia="zh-CN"/>
        </w:rPr>
        <w:t>；</w:t>
      </w:r>
      <w:r>
        <w:rPr>
          <w:rFonts w:hint="default"/>
          <w:lang w:val="en-US" w:eastAsia="zh-CN"/>
        </w:rPr>
        <w:t>仪器和周边侧面保护装置之间间隙不小于10mm。设备</w:t>
      </w:r>
      <w:r>
        <w:rPr>
          <w:rFonts w:hint="eastAsia"/>
          <w:lang w:val="en-US" w:eastAsia="zh-CN"/>
        </w:rPr>
        <w:t>顶部</w:t>
      </w:r>
      <w:r>
        <w:rPr>
          <w:rFonts w:hint="default"/>
          <w:lang w:val="en-US" w:eastAsia="zh-CN"/>
        </w:rPr>
        <w:t>应与保护设施顶部距离大于200㎜。应具有足够维修空间</w:t>
      </w:r>
      <w:r>
        <w:rPr>
          <w:rFonts w:hint="eastAsia"/>
          <w:lang w:val="en-US" w:eastAsia="zh-CN"/>
        </w:rPr>
        <w:t>、</w:t>
      </w:r>
      <w:r>
        <w:rPr>
          <w:rFonts w:hint="default"/>
          <w:lang w:val="en-US" w:eastAsia="zh-CN"/>
        </w:rPr>
        <w:t>通风、防虫、防雨</w:t>
      </w:r>
      <w:r>
        <w:rPr>
          <w:rFonts w:hint="eastAsia"/>
          <w:lang w:val="en-US" w:eastAsia="zh-CN"/>
        </w:rPr>
        <w:t>、</w:t>
      </w:r>
      <w:r>
        <w:rPr>
          <w:rFonts w:hint="default"/>
          <w:lang w:val="en-US" w:eastAsia="zh-CN"/>
        </w:rPr>
        <w:t>防止雨水倒灌、</w:t>
      </w:r>
      <w:r>
        <w:rPr>
          <w:rFonts w:hint="eastAsia"/>
          <w:lang w:val="en-US" w:eastAsia="zh-CN"/>
        </w:rPr>
        <w:t>防止</w:t>
      </w:r>
      <w:r>
        <w:rPr>
          <w:rFonts w:hint="default"/>
          <w:lang w:val="en-US" w:eastAsia="zh-CN"/>
        </w:rPr>
        <w:t>浅层地下水淹没等措施</w:t>
      </w:r>
      <w:r>
        <w:rPr>
          <w:rFonts w:hint="eastAsia"/>
          <w:lang w:val="en-US" w:eastAsia="zh-CN"/>
        </w:rPr>
        <w:t>。</w:t>
      </w:r>
    </w:p>
    <w:p w14:paraId="0661859C">
      <w:pPr>
        <w:pStyle w:val="42"/>
        <w:keepNext w:val="0"/>
        <w:keepLines w:val="0"/>
        <w:pageBreakBefore w:val="0"/>
        <w:widowControl/>
        <w:numPr>
          <w:ilvl w:val="0"/>
          <w:numId w:val="15"/>
        </w:numPr>
        <w:kinsoku/>
        <w:wordWrap/>
        <w:overflowPunct/>
        <w:topLinePunct w:val="0"/>
        <w:autoSpaceDE/>
        <w:autoSpaceDN/>
        <w:bidi w:val="0"/>
        <w:adjustRightInd/>
        <w:snapToGrid/>
        <w:ind w:left="0" w:firstLine="420" w:firstLineChars="200"/>
        <w:textAlignment w:val="auto"/>
        <w:rPr>
          <w:rFonts w:hint="default"/>
          <w:lang w:val="en-US" w:eastAsia="zh-CN"/>
        </w:rPr>
      </w:pPr>
      <w:r>
        <w:rPr>
          <w:rFonts w:hint="default"/>
          <w:lang w:val="en-US" w:eastAsia="zh-CN"/>
        </w:rPr>
        <w:t>采用窨井形式安装的标组，应有预防浅层水渗出措施，保护管接头、保护管与窨井之间应密封，防止渗水。</w:t>
      </w:r>
    </w:p>
    <w:p w14:paraId="1FDC5783">
      <w:pPr>
        <w:pStyle w:val="42"/>
        <w:keepNext w:val="0"/>
        <w:keepLines w:val="0"/>
        <w:pageBreakBefore w:val="0"/>
        <w:widowControl/>
        <w:numPr>
          <w:ilvl w:val="0"/>
          <w:numId w:val="15"/>
        </w:numPr>
        <w:kinsoku/>
        <w:wordWrap/>
        <w:overflowPunct/>
        <w:topLinePunct w:val="0"/>
        <w:autoSpaceDE/>
        <w:autoSpaceDN/>
        <w:bidi w:val="0"/>
        <w:adjustRightInd/>
        <w:snapToGrid/>
        <w:ind w:left="0" w:firstLine="420" w:firstLineChars="200"/>
        <w:textAlignment w:val="auto"/>
        <w:rPr>
          <w:rFonts w:hint="default"/>
          <w:lang w:val="en-US" w:eastAsia="zh-CN"/>
        </w:rPr>
      </w:pPr>
      <w:r>
        <w:rPr>
          <w:rFonts w:hint="default"/>
          <w:lang w:val="en-US" w:eastAsia="zh-CN"/>
        </w:rPr>
        <w:t>采用标房安装形式的标组，严禁套管与标房混凝土结构固结在一起。套管应高于保护结构面500㎜，孔内标杆应高于孔壁套管500㎜。标孔保护管应与地面环状间隙不小于100㎜，液、气管安装通道宜采用带盖板沟槽式，便于后期维护。</w:t>
      </w:r>
    </w:p>
    <w:p w14:paraId="329C1E61">
      <w:pPr>
        <w:pStyle w:val="42"/>
        <w:keepNext w:val="0"/>
        <w:keepLines w:val="0"/>
        <w:pageBreakBefore w:val="0"/>
        <w:widowControl/>
        <w:numPr>
          <w:ilvl w:val="0"/>
          <w:numId w:val="15"/>
        </w:numPr>
        <w:kinsoku/>
        <w:wordWrap/>
        <w:overflowPunct/>
        <w:topLinePunct w:val="0"/>
        <w:autoSpaceDE/>
        <w:autoSpaceDN/>
        <w:bidi w:val="0"/>
        <w:adjustRightInd/>
        <w:snapToGrid/>
        <w:ind w:left="0" w:firstLine="420" w:firstLineChars="200"/>
        <w:textAlignment w:val="auto"/>
        <w:rPr>
          <w:rFonts w:hint="default"/>
          <w:lang w:val="en-US" w:eastAsia="zh-CN"/>
        </w:rPr>
      </w:pPr>
      <w:r>
        <w:rPr>
          <w:rFonts w:hint="default"/>
          <w:lang w:val="en-US" w:eastAsia="zh-CN"/>
        </w:rPr>
        <w:t>系统应在基岩标（或最深分层标）标头安装补液装置及补液罐，补液罐</w:t>
      </w:r>
      <w:r>
        <w:rPr>
          <w:rFonts w:hint="eastAsia"/>
          <w:lang w:val="en-US" w:eastAsia="zh-CN"/>
        </w:rPr>
        <w:t>和</w:t>
      </w:r>
      <w:r>
        <w:rPr>
          <w:rFonts w:hint="default"/>
          <w:lang w:val="en-US" w:eastAsia="zh-CN"/>
        </w:rPr>
        <w:t>基岩标</w:t>
      </w:r>
      <w:r>
        <w:rPr>
          <w:rFonts w:hint="eastAsia"/>
          <w:lang w:val="en-US" w:eastAsia="zh-CN"/>
        </w:rPr>
        <w:t>静力水准仪</w:t>
      </w:r>
      <w:r>
        <w:rPr>
          <w:rFonts w:hint="default"/>
          <w:lang w:val="en-US" w:eastAsia="zh-CN"/>
        </w:rPr>
        <w:t>液罐</w:t>
      </w:r>
      <w:r>
        <w:rPr>
          <w:rFonts w:hint="eastAsia"/>
          <w:lang w:val="en-US" w:eastAsia="zh-CN"/>
        </w:rPr>
        <w:t>内底面和顶面标高一致。</w:t>
      </w:r>
      <w:r>
        <w:rPr>
          <w:rFonts w:hint="default"/>
          <w:lang w:val="en-US" w:eastAsia="zh-CN"/>
        </w:rPr>
        <w:t>初始安装时补液罐直径和液体高度应满足以下要求：基岩标和分层标监测仪器安装后液面高度应处于量程的二分之一位置；当所有分层标相对于基岩标全部沉降且达到</w:t>
      </w:r>
      <w:r>
        <w:rPr>
          <w:rFonts w:hint="eastAsia"/>
          <w:lang w:val="en-US" w:eastAsia="zh-CN"/>
        </w:rPr>
        <w:t>满量程预警</w:t>
      </w:r>
      <w:r>
        <w:rPr>
          <w:rFonts w:hint="default"/>
          <w:lang w:val="en-US" w:eastAsia="zh-CN"/>
        </w:rPr>
        <w:t>时，补液罐液面距离其底部不小于10mm；反之，当所有分层标相对于基岩标全部升高且达到</w:t>
      </w:r>
      <w:r>
        <w:rPr>
          <w:rFonts w:hint="eastAsia"/>
          <w:lang w:val="en-US" w:eastAsia="zh-CN"/>
        </w:rPr>
        <w:t>低液位预警</w:t>
      </w:r>
      <w:r>
        <w:rPr>
          <w:rFonts w:hint="default"/>
          <w:lang w:val="en-US" w:eastAsia="zh-CN"/>
        </w:rPr>
        <w:t>时，补液罐液面距离其顶部不小于10mm。</w:t>
      </w:r>
    </w:p>
    <w:p w14:paraId="5FC7DABA">
      <w:pPr>
        <w:pStyle w:val="42"/>
        <w:keepNext w:val="0"/>
        <w:keepLines w:val="0"/>
        <w:pageBreakBefore w:val="0"/>
        <w:widowControl/>
        <w:numPr>
          <w:ilvl w:val="0"/>
          <w:numId w:val="15"/>
        </w:numPr>
        <w:kinsoku/>
        <w:wordWrap/>
        <w:overflowPunct/>
        <w:topLinePunct w:val="0"/>
        <w:autoSpaceDE/>
        <w:autoSpaceDN/>
        <w:bidi w:val="0"/>
        <w:adjustRightInd/>
        <w:snapToGrid/>
        <w:ind w:left="0" w:firstLine="420" w:firstLineChars="200"/>
        <w:textAlignment w:val="auto"/>
        <w:rPr>
          <w:rFonts w:hint="default"/>
          <w:lang w:val="en-US" w:eastAsia="zh-CN"/>
        </w:rPr>
      </w:pPr>
      <w:r>
        <w:rPr>
          <w:rFonts w:hint="default"/>
          <w:lang w:val="en-US" w:eastAsia="zh-CN"/>
        </w:rPr>
        <w:t>静力水准仪在标头和保护管安装的固定架应注意安装方向，不得遮挡标头和副标头的水准点。仪器液位显示窗（显示管）应便于观察</w:t>
      </w:r>
      <w:r>
        <w:rPr>
          <w:rFonts w:hint="eastAsia"/>
          <w:lang w:val="en-US" w:eastAsia="zh-CN"/>
        </w:rPr>
        <w:t>。</w:t>
      </w:r>
    </w:p>
    <w:p w14:paraId="7668383D">
      <w:pPr>
        <w:pStyle w:val="42"/>
        <w:keepNext w:val="0"/>
        <w:keepLines w:val="0"/>
        <w:pageBreakBefore w:val="0"/>
        <w:widowControl/>
        <w:numPr>
          <w:ilvl w:val="0"/>
          <w:numId w:val="15"/>
        </w:numPr>
        <w:kinsoku/>
        <w:wordWrap/>
        <w:overflowPunct/>
        <w:topLinePunct w:val="0"/>
        <w:autoSpaceDE/>
        <w:autoSpaceDN/>
        <w:bidi w:val="0"/>
        <w:adjustRightInd/>
        <w:snapToGrid/>
        <w:ind w:left="0" w:firstLine="420" w:firstLineChars="200"/>
        <w:textAlignment w:val="auto"/>
        <w:rPr>
          <w:rFonts w:hint="default"/>
          <w:lang w:val="en-US" w:eastAsia="zh-CN"/>
        </w:rPr>
      </w:pPr>
      <w:r>
        <w:rPr>
          <w:rFonts w:hint="default"/>
          <w:lang w:val="en-US" w:eastAsia="zh-CN"/>
        </w:rPr>
        <w:t>同一场地所有分层标和基岩标</w:t>
      </w:r>
      <w:r>
        <w:rPr>
          <w:rFonts w:hint="eastAsia"/>
          <w:lang w:val="en-US" w:eastAsia="zh-CN"/>
        </w:rPr>
        <w:t>的</w:t>
      </w:r>
      <w:r>
        <w:rPr>
          <w:rFonts w:hint="default"/>
          <w:lang w:val="en-US" w:eastAsia="zh-CN"/>
        </w:rPr>
        <w:t>静力水准仪液管均应联通，联通系统的一个端头和补液罐相连，另一个端头密封。液管在地下安装前，应先灌满液体且封闭两端，确保管路无气泡后，才能穿入地下管道。充填系统的液体应为同一批次、同一密度。</w:t>
      </w:r>
    </w:p>
    <w:p w14:paraId="44ECF6CC">
      <w:pPr>
        <w:pStyle w:val="42"/>
        <w:keepNext w:val="0"/>
        <w:keepLines w:val="0"/>
        <w:pageBreakBefore w:val="0"/>
        <w:widowControl/>
        <w:numPr>
          <w:ilvl w:val="0"/>
          <w:numId w:val="15"/>
        </w:numPr>
        <w:kinsoku/>
        <w:wordWrap/>
        <w:overflowPunct/>
        <w:topLinePunct w:val="0"/>
        <w:autoSpaceDE/>
        <w:autoSpaceDN/>
        <w:bidi w:val="0"/>
        <w:adjustRightInd/>
        <w:snapToGrid/>
        <w:ind w:left="0" w:firstLine="420" w:firstLineChars="200"/>
        <w:textAlignment w:val="auto"/>
        <w:rPr>
          <w:rFonts w:hint="default"/>
          <w:lang w:val="en-US" w:eastAsia="zh-CN"/>
        </w:rPr>
      </w:pPr>
      <w:r>
        <w:rPr>
          <w:rFonts w:hint="default"/>
          <w:lang w:val="en-US" w:eastAsia="zh-CN"/>
        </w:rPr>
        <w:t>同一场地所有静力水准仪通过气管联通，</w:t>
      </w:r>
      <w:r>
        <w:rPr>
          <w:rFonts w:hint="eastAsia"/>
          <w:lang w:val="en-US" w:eastAsia="zh-CN"/>
        </w:rPr>
        <w:t>首尾两端气管应</w:t>
      </w:r>
      <w:r>
        <w:rPr>
          <w:rFonts w:hint="default"/>
          <w:lang w:val="en-US" w:eastAsia="zh-CN"/>
        </w:rPr>
        <w:t>与空气联通并配有防水透气</w:t>
      </w:r>
      <w:r>
        <w:rPr>
          <w:rFonts w:hint="eastAsia"/>
          <w:lang w:val="en-US" w:eastAsia="zh-CN"/>
        </w:rPr>
        <w:t>阀</w:t>
      </w:r>
      <w:r>
        <w:rPr>
          <w:rFonts w:hint="default"/>
          <w:lang w:val="en-US" w:eastAsia="zh-CN"/>
        </w:rPr>
        <w:t>。或者每台静力水准仪均通过防水透气</w:t>
      </w:r>
      <w:r>
        <w:rPr>
          <w:rFonts w:hint="eastAsia"/>
          <w:lang w:val="en-US" w:eastAsia="zh-CN"/>
        </w:rPr>
        <w:t>阀</w:t>
      </w:r>
      <w:r>
        <w:rPr>
          <w:rFonts w:hint="default"/>
          <w:lang w:val="en-US" w:eastAsia="zh-CN"/>
        </w:rPr>
        <w:t>和空气相连。</w:t>
      </w:r>
    </w:p>
    <w:p w14:paraId="6A15109C">
      <w:pPr>
        <w:pStyle w:val="42"/>
        <w:keepNext w:val="0"/>
        <w:keepLines w:val="0"/>
        <w:pageBreakBefore w:val="0"/>
        <w:widowControl/>
        <w:numPr>
          <w:ilvl w:val="0"/>
          <w:numId w:val="15"/>
        </w:numPr>
        <w:kinsoku/>
        <w:wordWrap/>
        <w:overflowPunct/>
        <w:topLinePunct w:val="0"/>
        <w:autoSpaceDE/>
        <w:autoSpaceDN/>
        <w:bidi w:val="0"/>
        <w:adjustRightInd/>
        <w:snapToGrid/>
        <w:ind w:left="0" w:firstLine="420" w:firstLineChars="200"/>
        <w:textAlignment w:val="auto"/>
        <w:rPr>
          <w:rFonts w:hint="default"/>
          <w:lang w:val="en-US" w:eastAsia="zh-CN"/>
        </w:rPr>
      </w:pPr>
      <w:r>
        <w:rPr>
          <w:rFonts w:hint="default"/>
          <w:lang w:val="en-US" w:eastAsia="zh-CN"/>
        </w:rPr>
        <w:t>基岩标、分层标的气管、液管和数据线联通规则及安装示意图见附录A.1。供电系统、RTU宜安装在基岩标或最深分层标孔附近</w:t>
      </w:r>
      <w:r>
        <w:rPr>
          <w:rFonts w:hint="eastAsia"/>
          <w:lang w:val="en-US" w:eastAsia="zh-CN"/>
        </w:rPr>
        <w:t>，</w:t>
      </w:r>
      <w:r>
        <w:rPr>
          <w:rFonts w:hint="default"/>
          <w:lang w:val="en-US" w:eastAsia="zh-CN"/>
        </w:rPr>
        <w:t>场地所有仪器通过RS485有线网络联网，并接入现场RTU，现场物联网连接示意图详见附录A.2。</w:t>
      </w:r>
    </w:p>
    <w:p w14:paraId="3D090BC8">
      <w:pPr>
        <w:pStyle w:val="40"/>
        <w:spacing w:before="156" w:after="156"/>
        <w:rPr>
          <w:rFonts w:hint="eastAsia"/>
          <w:lang w:val="en-US" w:eastAsia="zh-CN"/>
        </w:rPr>
      </w:pPr>
      <w:r>
        <w:rPr>
          <w:rFonts w:hint="eastAsia"/>
          <w:lang w:val="en-US" w:eastAsia="zh-CN"/>
        </w:rPr>
        <w:t>安装质量检查</w:t>
      </w:r>
    </w:p>
    <w:p w14:paraId="3C3B187B">
      <w:pPr>
        <w:pStyle w:val="30"/>
        <w:rPr>
          <w:rFonts w:hint="eastAsia"/>
          <w:lang w:val="en-US" w:eastAsia="zh-CN"/>
        </w:rPr>
      </w:pPr>
      <w:r>
        <w:rPr>
          <w:rFonts w:hint="default"/>
          <w:lang w:val="en-US" w:eastAsia="zh-CN"/>
        </w:rPr>
        <w:t>安装完成后，应按下列内容逐项核查安装效果，确认</w:t>
      </w:r>
      <w:r>
        <w:rPr>
          <w:rFonts w:hint="eastAsia"/>
          <w:lang w:val="en-US" w:eastAsia="zh-CN"/>
        </w:rPr>
        <w:t>满足</w:t>
      </w:r>
      <w:r>
        <w:rPr>
          <w:rFonts w:hint="default"/>
          <w:lang w:val="en-US" w:eastAsia="zh-CN"/>
        </w:rPr>
        <w:t>设计要求：</w:t>
      </w:r>
    </w:p>
    <w:p w14:paraId="61E28C88">
      <w:pPr>
        <w:pStyle w:val="42"/>
        <w:numPr>
          <w:ilvl w:val="0"/>
          <w:numId w:val="16"/>
        </w:numPr>
        <w:rPr>
          <w:rFonts w:hint="eastAsia"/>
          <w:lang w:val="en-US" w:eastAsia="zh-CN"/>
        </w:rPr>
      </w:pPr>
      <w:r>
        <w:rPr>
          <w:rFonts w:hint="default"/>
          <w:lang w:val="en-US" w:eastAsia="zh-CN"/>
        </w:rPr>
        <w:t>场地整平标高一致性符合设计要求；</w:t>
      </w:r>
    </w:p>
    <w:p w14:paraId="10F8A757">
      <w:pPr>
        <w:pStyle w:val="42"/>
        <w:numPr>
          <w:ilvl w:val="0"/>
          <w:numId w:val="16"/>
        </w:numPr>
        <w:rPr>
          <w:rFonts w:hint="eastAsia"/>
          <w:lang w:val="en-US" w:eastAsia="zh-CN"/>
        </w:rPr>
      </w:pPr>
      <w:r>
        <w:rPr>
          <w:rFonts w:hint="default"/>
          <w:lang w:val="en-US" w:eastAsia="zh-CN"/>
        </w:rPr>
        <w:t>混凝土墩施工质量、尺寸及标高符合设计要求；</w:t>
      </w:r>
    </w:p>
    <w:p w14:paraId="1CAE6437">
      <w:pPr>
        <w:pStyle w:val="42"/>
        <w:numPr>
          <w:ilvl w:val="0"/>
          <w:numId w:val="16"/>
        </w:numPr>
        <w:rPr>
          <w:rFonts w:hint="eastAsia"/>
          <w:lang w:val="en-US" w:eastAsia="zh-CN"/>
        </w:rPr>
      </w:pPr>
      <w:r>
        <w:rPr>
          <w:rFonts w:hint="eastAsia"/>
          <w:lang w:val="en-US" w:eastAsia="zh-CN"/>
        </w:rPr>
        <w:t>标组保护管、标头、混凝土墩、静力水准仪之间的预留高度和间隙满足要求；</w:t>
      </w:r>
    </w:p>
    <w:p w14:paraId="5444C920">
      <w:pPr>
        <w:pStyle w:val="42"/>
        <w:numPr>
          <w:ilvl w:val="0"/>
          <w:numId w:val="16"/>
        </w:numPr>
        <w:rPr>
          <w:rFonts w:hint="eastAsia"/>
          <w:lang w:val="en-US" w:eastAsia="zh-CN"/>
        </w:rPr>
      </w:pPr>
      <w:r>
        <w:rPr>
          <w:rFonts w:hint="eastAsia"/>
          <w:lang w:val="en-US" w:eastAsia="zh-CN"/>
        </w:rPr>
        <w:t>穿线管直径、壁厚等规格参数符合满足设计要求；</w:t>
      </w:r>
    </w:p>
    <w:p w14:paraId="58F0E1EF">
      <w:pPr>
        <w:pStyle w:val="42"/>
        <w:numPr>
          <w:ilvl w:val="0"/>
          <w:numId w:val="16"/>
        </w:numPr>
        <w:rPr>
          <w:rFonts w:hint="eastAsia"/>
          <w:lang w:val="en-US" w:eastAsia="zh-CN"/>
        </w:rPr>
      </w:pPr>
      <w:r>
        <w:rPr>
          <w:rFonts w:hint="default"/>
          <w:lang w:val="en-US" w:eastAsia="zh-CN"/>
        </w:rPr>
        <w:t>所有仪器与储液罐底座安装偏差满足</w:t>
      </w:r>
      <w:r>
        <w:rPr>
          <w:rFonts w:hint="eastAsia"/>
          <w:lang w:val="en-US" w:eastAsia="zh-CN"/>
        </w:rPr>
        <w:t>设计</w:t>
      </w:r>
      <w:r>
        <w:rPr>
          <w:rFonts w:hint="default"/>
          <w:lang w:val="en-US" w:eastAsia="zh-CN"/>
        </w:rPr>
        <w:t>要求；</w:t>
      </w:r>
    </w:p>
    <w:p w14:paraId="7688E85D">
      <w:pPr>
        <w:pStyle w:val="42"/>
        <w:numPr>
          <w:ilvl w:val="0"/>
          <w:numId w:val="16"/>
        </w:numPr>
        <w:rPr>
          <w:rFonts w:hint="eastAsia"/>
          <w:lang w:val="en-US" w:eastAsia="zh-CN"/>
        </w:rPr>
      </w:pPr>
      <w:r>
        <w:rPr>
          <w:rFonts w:hint="default"/>
          <w:lang w:val="en-US" w:eastAsia="zh-CN"/>
        </w:rPr>
        <w:t>液管内无残留气泡，接头密封无渗漏；</w:t>
      </w:r>
    </w:p>
    <w:p w14:paraId="44102A9A">
      <w:pPr>
        <w:pStyle w:val="42"/>
        <w:numPr>
          <w:ilvl w:val="0"/>
          <w:numId w:val="16"/>
        </w:numPr>
        <w:rPr>
          <w:rFonts w:hint="eastAsia"/>
          <w:lang w:val="en-US" w:eastAsia="zh-CN"/>
        </w:rPr>
      </w:pPr>
      <w:r>
        <w:rPr>
          <w:rFonts w:hint="default"/>
          <w:lang w:val="en-US" w:eastAsia="zh-CN"/>
        </w:rPr>
        <w:t>气管与大气连通顺畅，端头防水透气</w:t>
      </w:r>
      <w:r>
        <w:rPr>
          <w:rFonts w:hint="eastAsia"/>
          <w:lang w:val="en-US" w:eastAsia="zh-CN"/>
        </w:rPr>
        <w:t>阀安装满足设计要求</w:t>
      </w:r>
      <w:r>
        <w:rPr>
          <w:rFonts w:hint="default"/>
          <w:lang w:val="en-US" w:eastAsia="zh-CN"/>
        </w:rPr>
        <w:t>；</w:t>
      </w:r>
    </w:p>
    <w:p w14:paraId="443EF3C5">
      <w:pPr>
        <w:pStyle w:val="42"/>
        <w:numPr>
          <w:ilvl w:val="0"/>
          <w:numId w:val="16"/>
        </w:numPr>
        <w:rPr>
          <w:rFonts w:hint="eastAsia"/>
          <w:lang w:val="en-US" w:eastAsia="zh-CN"/>
        </w:rPr>
      </w:pPr>
      <w:r>
        <w:rPr>
          <w:rFonts w:hint="default"/>
          <w:lang w:val="en-US" w:eastAsia="zh-CN"/>
        </w:rPr>
        <w:t>仪器数据线连接正确，线路与接头防护</w:t>
      </w:r>
      <w:r>
        <w:rPr>
          <w:rFonts w:hint="eastAsia"/>
          <w:lang w:val="en-US" w:eastAsia="zh-CN"/>
        </w:rPr>
        <w:t>满足设计</w:t>
      </w:r>
      <w:r>
        <w:rPr>
          <w:rFonts w:hint="default"/>
          <w:lang w:val="en-US" w:eastAsia="zh-CN"/>
        </w:rPr>
        <w:t>要求；</w:t>
      </w:r>
    </w:p>
    <w:p w14:paraId="79407BAD">
      <w:pPr>
        <w:pStyle w:val="42"/>
        <w:numPr>
          <w:ilvl w:val="0"/>
          <w:numId w:val="16"/>
        </w:numPr>
        <w:rPr>
          <w:rFonts w:hint="eastAsia"/>
          <w:lang w:val="en-US" w:eastAsia="zh-CN"/>
        </w:rPr>
      </w:pPr>
      <w:r>
        <w:rPr>
          <w:rFonts w:hint="default"/>
          <w:lang w:val="en-US" w:eastAsia="zh-CN"/>
        </w:rPr>
        <w:t>供电系统安装规范，线路防护</w:t>
      </w:r>
      <w:r>
        <w:rPr>
          <w:rFonts w:hint="eastAsia"/>
          <w:lang w:val="en-US" w:eastAsia="zh-CN"/>
        </w:rPr>
        <w:t>和</w:t>
      </w:r>
      <w:r>
        <w:rPr>
          <w:rFonts w:hint="default"/>
          <w:lang w:val="en-US" w:eastAsia="zh-CN"/>
        </w:rPr>
        <w:t>接头连接</w:t>
      </w:r>
      <w:r>
        <w:rPr>
          <w:rFonts w:hint="eastAsia"/>
          <w:lang w:val="en-US" w:eastAsia="zh-CN"/>
        </w:rPr>
        <w:t>满足设计要求；</w:t>
      </w:r>
    </w:p>
    <w:p w14:paraId="74157887">
      <w:pPr>
        <w:pStyle w:val="42"/>
        <w:numPr>
          <w:ilvl w:val="0"/>
          <w:numId w:val="16"/>
        </w:numPr>
        <w:rPr>
          <w:rFonts w:hint="eastAsia"/>
          <w:lang w:val="en-US" w:eastAsia="zh-CN"/>
        </w:rPr>
      </w:pPr>
      <w:r>
        <w:rPr>
          <w:rFonts w:hint="eastAsia"/>
          <w:lang w:val="en-US" w:eastAsia="zh-CN"/>
        </w:rPr>
        <w:t>各静力水准仪液位初始读数应满足设计要求。</w:t>
      </w:r>
    </w:p>
    <w:p w14:paraId="6349C106">
      <w:pPr>
        <w:pStyle w:val="36"/>
        <w:rPr>
          <w:rFonts w:hint="default"/>
          <w:lang w:val="en-US" w:eastAsia="zh-CN"/>
        </w:rPr>
      </w:pPr>
      <w:bookmarkStart w:id="93" w:name="_Toc18410"/>
      <w:bookmarkStart w:id="94" w:name="_Toc9052"/>
      <w:bookmarkStart w:id="95" w:name="_Toc10689"/>
      <w:bookmarkStart w:id="96" w:name="_Toc1121"/>
      <w:r>
        <w:rPr>
          <w:rFonts w:hint="default"/>
          <w:lang w:val="en-US" w:eastAsia="zh-CN"/>
        </w:rPr>
        <w:t>监测仪器调试</w:t>
      </w:r>
      <w:bookmarkEnd w:id="93"/>
      <w:bookmarkEnd w:id="94"/>
      <w:bookmarkEnd w:id="95"/>
      <w:bookmarkEnd w:id="96"/>
    </w:p>
    <w:p w14:paraId="10D9E653">
      <w:pPr>
        <w:pStyle w:val="40"/>
        <w:spacing w:before="156" w:after="156"/>
        <w:rPr>
          <w:rFonts w:hint="eastAsia"/>
        </w:rPr>
      </w:pPr>
      <w:r>
        <w:rPr>
          <w:rFonts w:hint="eastAsia"/>
        </w:rPr>
        <w:t>调试程序</w:t>
      </w:r>
    </w:p>
    <w:p w14:paraId="33563473">
      <w:pPr>
        <w:pStyle w:val="42"/>
        <w:numPr>
          <w:ilvl w:val="0"/>
          <w:numId w:val="17"/>
        </w:numPr>
        <w:rPr>
          <w:rFonts w:hint="eastAsia"/>
          <w:lang w:val="en-US" w:eastAsia="zh-CN"/>
        </w:rPr>
      </w:pPr>
      <w:r>
        <w:rPr>
          <w:rFonts w:hint="eastAsia"/>
          <w:lang w:val="en-US" w:eastAsia="zh-CN"/>
        </w:rPr>
        <w:t>供电系统上电后检查电压是否稳定，波动不应超过额定电压的±5%；</w:t>
      </w:r>
    </w:p>
    <w:p w14:paraId="1EF01158">
      <w:pPr>
        <w:pStyle w:val="42"/>
        <w:numPr>
          <w:ilvl w:val="0"/>
          <w:numId w:val="17"/>
        </w:numPr>
        <w:rPr>
          <w:rFonts w:hint="eastAsia"/>
          <w:lang w:val="en-US" w:eastAsia="zh-CN"/>
        </w:rPr>
      </w:pPr>
      <w:r>
        <w:rPr>
          <w:rFonts w:hint="eastAsia"/>
          <w:lang w:val="en-US" w:eastAsia="zh-CN"/>
        </w:rPr>
        <w:t>RTU与全部传感器通信正常，在线率应为100%；</w:t>
      </w:r>
    </w:p>
    <w:p w14:paraId="3703573D">
      <w:pPr>
        <w:pStyle w:val="42"/>
        <w:numPr>
          <w:ilvl w:val="0"/>
          <w:numId w:val="17"/>
        </w:numPr>
        <w:rPr>
          <w:rFonts w:hint="eastAsia"/>
          <w:lang w:val="en-US" w:eastAsia="zh-CN"/>
        </w:rPr>
      </w:pPr>
      <w:r>
        <w:rPr>
          <w:rFonts w:hint="eastAsia"/>
          <w:lang w:val="en-US" w:eastAsia="zh-CN"/>
        </w:rPr>
        <w:t>与云平台核对数据上报功能，数据完整率应为100%；</w:t>
      </w:r>
    </w:p>
    <w:p w14:paraId="1E204956">
      <w:pPr>
        <w:pStyle w:val="42"/>
        <w:numPr>
          <w:ilvl w:val="0"/>
          <w:numId w:val="17"/>
        </w:numPr>
        <w:rPr>
          <w:rFonts w:hint="eastAsia"/>
          <w:lang w:val="en-US" w:eastAsia="zh-CN"/>
        </w:rPr>
      </w:pPr>
      <w:r>
        <w:rPr>
          <w:rFonts w:hint="eastAsia"/>
          <w:lang w:val="en-US" w:eastAsia="zh-CN"/>
        </w:rPr>
        <w:t>系统连续稳定运行72小时以上，期间应无数据中断、无异常报警。</w:t>
      </w:r>
    </w:p>
    <w:p w14:paraId="2DE8C358">
      <w:pPr>
        <w:pStyle w:val="40"/>
        <w:spacing w:before="156" w:after="156"/>
        <w:rPr>
          <w:rFonts w:hint="eastAsia"/>
        </w:rPr>
      </w:pPr>
      <w:r>
        <w:rPr>
          <w:rFonts w:hint="eastAsia"/>
        </w:rPr>
        <w:t>调试记录</w:t>
      </w:r>
    </w:p>
    <w:p w14:paraId="458AF239">
      <w:pPr>
        <w:pStyle w:val="30"/>
        <w:rPr>
          <w:rFonts w:hint="default"/>
          <w:lang w:val="en-US" w:eastAsia="zh-CN"/>
        </w:rPr>
      </w:pPr>
      <w:r>
        <w:rPr>
          <w:rFonts w:hint="default"/>
          <w:lang w:val="en-US" w:eastAsia="zh-CN"/>
        </w:rPr>
        <w:t>调试完成后应记录调试过程、关键参数及</w:t>
      </w:r>
      <w:r>
        <w:rPr>
          <w:rFonts w:hint="eastAsia"/>
          <w:lang w:val="en-US" w:eastAsia="zh-CN"/>
        </w:rPr>
        <w:t>结果</w:t>
      </w:r>
      <w:r>
        <w:rPr>
          <w:rFonts w:hint="default"/>
          <w:lang w:val="en-US" w:eastAsia="zh-CN"/>
        </w:rPr>
        <w:t>。</w:t>
      </w:r>
    </w:p>
    <w:bookmarkEnd w:id="64"/>
    <w:p w14:paraId="54CDFDCC">
      <w:pPr>
        <w:pStyle w:val="35"/>
        <w:rPr>
          <w:rFonts w:hint="eastAsia"/>
          <w:lang w:val="en-US" w:eastAsia="zh-CN"/>
        </w:rPr>
      </w:pPr>
      <w:bookmarkStart w:id="97" w:name="_Toc9668"/>
      <w:bookmarkStart w:id="98" w:name="_Toc7248"/>
      <w:bookmarkStart w:id="99" w:name="_Toc32163"/>
      <w:bookmarkStart w:id="100" w:name="_Toc23624"/>
      <w:r>
        <w:rPr>
          <w:rFonts w:hint="eastAsia"/>
          <w:lang w:val="en-US" w:eastAsia="zh-CN"/>
        </w:rPr>
        <w:t>终端数据采集和处理</w:t>
      </w:r>
      <w:bookmarkEnd w:id="97"/>
      <w:bookmarkEnd w:id="98"/>
      <w:bookmarkEnd w:id="99"/>
      <w:bookmarkEnd w:id="100"/>
    </w:p>
    <w:p w14:paraId="3F010E15">
      <w:pPr>
        <w:pStyle w:val="36"/>
        <w:rPr>
          <w:rFonts w:hint="eastAsia"/>
        </w:rPr>
      </w:pPr>
      <w:bookmarkStart w:id="101" w:name="_Toc2143"/>
      <w:bookmarkStart w:id="102" w:name="_Toc1540"/>
      <w:r>
        <w:rPr>
          <w:rFonts w:hint="eastAsia"/>
          <w:lang w:val="en-US" w:eastAsia="zh-CN"/>
        </w:rPr>
        <w:t>终端</w:t>
      </w:r>
      <w:r>
        <w:rPr>
          <w:rFonts w:hint="eastAsia"/>
        </w:rPr>
        <w:t>数据采集</w:t>
      </w:r>
      <w:bookmarkEnd w:id="101"/>
      <w:bookmarkEnd w:id="102"/>
    </w:p>
    <w:p w14:paraId="667824BE">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静力水准仪产生原始观测数据，实时传输至分层标组系统边缘计算终端单元（RTU）。</w:t>
      </w:r>
    </w:p>
    <w:p w14:paraId="298E6B25">
      <w:pPr>
        <w:pStyle w:val="40"/>
        <w:spacing w:before="156" w:after="156"/>
        <w:rPr>
          <w:rFonts w:hint="eastAsia" w:ascii="宋体" w:hAnsi="宋体" w:eastAsia="宋体" w:cs="宋体"/>
        </w:rPr>
      </w:pPr>
      <w:r>
        <w:rPr>
          <w:rFonts w:hint="eastAsia" w:ascii="宋体" w:hAnsi="宋体" w:eastAsia="宋体" w:cs="宋体"/>
          <w:lang w:val="en-US" w:eastAsia="zh-CN"/>
        </w:rPr>
        <w:t>RTU对数据进行接收、校验、本地存储。</w:t>
      </w:r>
    </w:p>
    <w:p w14:paraId="62558547">
      <w:pPr>
        <w:pStyle w:val="40"/>
        <w:spacing w:before="156" w:after="156"/>
        <w:rPr>
          <w:rFonts w:hint="eastAsia"/>
          <w:lang w:val="en-US" w:eastAsia="zh-CN"/>
        </w:rPr>
      </w:pPr>
      <w:r>
        <w:rPr>
          <w:rFonts w:hint="eastAsia" w:ascii="宋体" w:hAnsi="宋体" w:eastAsia="宋体" w:cs="宋体"/>
          <w:lang w:val="en-US" w:eastAsia="zh-CN"/>
        </w:rPr>
        <w:t>静力水准仪数据采集频率、时间尺度、休眠周期可设置。</w:t>
      </w:r>
    </w:p>
    <w:p w14:paraId="59F6E06E">
      <w:pPr>
        <w:pStyle w:val="36"/>
        <w:rPr>
          <w:rFonts w:hint="eastAsia"/>
          <w:lang w:val="en-US" w:eastAsia="zh-CN"/>
        </w:rPr>
      </w:pPr>
      <w:bookmarkStart w:id="103" w:name="_Toc24269"/>
      <w:r>
        <w:rPr>
          <w:rFonts w:hint="eastAsia"/>
          <w:lang w:val="en-US" w:eastAsia="zh-CN"/>
        </w:rPr>
        <w:t>终端数据处理</w:t>
      </w:r>
      <w:bookmarkEnd w:id="103"/>
    </w:p>
    <w:p w14:paraId="2177F574">
      <w:pPr>
        <w:pStyle w:val="40"/>
        <w:spacing w:before="156" w:after="156"/>
        <w:rPr>
          <w:rFonts w:hint="default"/>
          <w:lang w:val="en-US" w:eastAsia="zh-CN"/>
        </w:rPr>
      </w:pPr>
      <w:bookmarkStart w:id="104" w:name="_Toc4179"/>
      <w:bookmarkStart w:id="105" w:name="_Toc23839"/>
      <w:bookmarkStart w:id="106" w:name="_Toc28455"/>
      <w:r>
        <w:rPr>
          <w:rFonts w:hint="default"/>
          <w:lang w:val="en-US" w:eastAsia="zh-CN"/>
        </w:rPr>
        <w:t>沉降差计算</w:t>
      </w:r>
      <w:bookmarkEnd w:id="104"/>
      <w:bookmarkEnd w:id="105"/>
      <w:bookmarkEnd w:id="106"/>
    </w:p>
    <w:p w14:paraId="0FF7B731">
      <w:pPr>
        <w:pStyle w:val="30"/>
        <w:rPr>
          <w:rFonts w:hint="eastAsia"/>
          <w:lang w:val="en-US" w:eastAsia="zh-CN"/>
        </w:rPr>
      </w:pPr>
      <w:r>
        <w:rPr>
          <w:rFonts w:hint="eastAsia"/>
          <w:lang w:val="en-US" w:eastAsia="zh-CN"/>
        </w:rPr>
        <w:t>计算公式：当前沉降差 = 分层标当前液位高 - 基岩标当前液位高</w:t>
      </w:r>
    </w:p>
    <w:p w14:paraId="040E1352">
      <w:pPr>
        <w:pStyle w:val="40"/>
        <w:spacing w:before="156" w:after="156"/>
        <w:rPr>
          <w:rFonts w:hint="default"/>
          <w:lang w:val="en-US" w:eastAsia="zh-CN"/>
        </w:rPr>
      </w:pPr>
      <w:r>
        <w:rPr>
          <w:rFonts w:hint="eastAsia"/>
          <w:lang w:val="en-US" w:eastAsia="zh-CN"/>
        </w:rPr>
        <w:t>调整差</w:t>
      </w:r>
    </w:p>
    <w:p w14:paraId="0C614F6F">
      <w:pPr>
        <w:pStyle w:val="30"/>
        <w:rPr>
          <w:rFonts w:hint="eastAsia"/>
          <w:lang w:val="en-US" w:eastAsia="zh-CN"/>
        </w:rPr>
      </w:pPr>
      <w:r>
        <w:rPr>
          <w:rFonts w:hint="eastAsia"/>
          <w:lang w:val="en-US" w:eastAsia="zh-CN"/>
        </w:rPr>
        <w:t>计算公式：沉降起算时间点的初始调整差 = 沉降起算时间点沉降量（0值）- 沉降起算时间点沉降差读数</w:t>
      </w:r>
    </w:p>
    <w:p w14:paraId="381AF0E8">
      <w:pPr>
        <w:pStyle w:val="40"/>
        <w:spacing w:before="156" w:after="156"/>
        <w:rPr>
          <w:rFonts w:hint="eastAsia"/>
          <w:lang w:val="en-US" w:eastAsia="zh-CN"/>
        </w:rPr>
      </w:pPr>
      <w:r>
        <w:rPr>
          <w:rFonts w:hint="eastAsia"/>
          <w:lang w:val="en-US" w:eastAsia="zh-CN"/>
        </w:rPr>
        <w:t>累计调整差</w:t>
      </w:r>
    </w:p>
    <w:p w14:paraId="1DD55E9E">
      <w:pPr>
        <w:pStyle w:val="30"/>
        <w:rPr>
          <w:rFonts w:hint="default"/>
          <w:lang w:val="en-US" w:eastAsia="zh-CN"/>
        </w:rPr>
      </w:pPr>
      <w:r>
        <w:rPr>
          <w:rFonts w:hint="eastAsia"/>
          <w:lang w:val="en-US" w:eastAsia="zh-CN"/>
        </w:rPr>
        <w:t>计算公式：当前累计调整差 = 底座调整前的最后一次沉降量 - 调整后的第一次沉降差值</w:t>
      </w:r>
    </w:p>
    <w:p w14:paraId="228167B8">
      <w:pPr>
        <w:pStyle w:val="40"/>
        <w:spacing w:before="156" w:after="156"/>
        <w:rPr>
          <w:rFonts w:hint="eastAsia"/>
          <w:lang w:val="en-US" w:eastAsia="zh-CN"/>
        </w:rPr>
      </w:pPr>
      <w:bookmarkStart w:id="107" w:name="_Toc9670"/>
      <w:bookmarkStart w:id="108" w:name="_Toc8566"/>
      <w:r>
        <w:rPr>
          <w:rFonts w:hint="eastAsia"/>
          <w:lang w:val="en-US" w:eastAsia="zh-CN"/>
        </w:rPr>
        <w:t>沉降量计算</w:t>
      </w:r>
      <w:bookmarkEnd w:id="107"/>
      <w:bookmarkEnd w:id="108"/>
    </w:p>
    <w:p w14:paraId="236C1918">
      <w:pPr>
        <w:pStyle w:val="42"/>
        <w:numPr>
          <w:ilvl w:val="0"/>
          <w:numId w:val="18"/>
        </w:numPr>
        <w:rPr>
          <w:rFonts w:hint="eastAsia"/>
          <w:lang w:val="en-US" w:eastAsia="zh-CN"/>
        </w:rPr>
      </w:pPr>
      <w:r>
        <w:rPr>
          <w:rFonts w:hint="eastAsia"/>
          <w:lang w:val="en-US" w:eastAsia="zh-CN"/>
        </w:rPr>
        <w:t>计算公式：当前沉降量 = 当前累计调整差 + 当前沉降差读数</w:t>
      </w:r>
    </w:p>
    <w:p w14:paraId="006BC1BF">
      <w:pPr>
        <w:pStyle w:val="42"/>
        <w:numPr>
          <w:ilvl w:val="0"/>
          <w:numId w:val="18"/>
        </w:numPr>
        <w:rPr>
          <w:rFonts w:hint="eastAsia"/>
          <w:lang w:val="en-US" w:eastAsia="zh-CN"/>
        </w:rPr>
      </w:pPr>
      <w:r>
        <w:rPr>
          <w:rFonts w:hint="eastAsia"/>
          <w:lang w:val="en-US" w:eastAsia="zh-CN"/>
        </w:rPr>
        <w:t>沉降为正，升高为负。</w:t>
      </w:r>
    </w:p>
    <w:p w14:paraId="71605D97">
      <w:pPr>
        <w:pStyle w:val="35"/>
        <w:rPr>
          <w:rFonts w:hint="eastAsia"/>
          <w:lang w:val="en-US" w:eastAsia="zh-CN"/>
        </w:rPr>
      </w:pPr>
      <w:bookmarkStart w:id="109" w:name="_Toc15123"/>
      <w:bookmarkStart w:id="110" w:name="_Toc24565"/>
      <w:bookmarkStart w:id="111" w:name="_Toc29446"/>
      <w:bookmarkStart w:id="112" w:name="_Toc30187"/>
      <w:r>
        <w:rPr>
          <w:rFonts w:hint="eastAsia"/>
          <w:lang w:val="en-US" w:eastAsia="zh-CN"/>
        </w:rPr>
        <w:t>终端数据上报</w:t>
      </w:r>
      <w:bookmarkEnd w:id="109"/>
      <w:bookmarkEnd w:id="110"/>
      <w:bookmarkEnd w:id="111"/>
      <w:bookmarkEnd w:id="112"/>
    </w:p>
    <w:p w14:paraId="49ABF6CD">
      <w:pPr>
        <w:pStyle w:val="42"/>
        <w:numPr>
          <w:ilvl w:val="-1"/>
          <w:numId w:val="0"/>
        </w:numPr>
        <w:ind w:left="0" w:firstLine="420" w:firstLineChars="200"/>
        <w:outlineLvl w:val="9"/>
        <w:rPr>
          <w:rFonts w:hint="default" w:hAnsi="宋体" w:cs="宋体"/>
          <w:color w:val="auto"/>
          <w:szCs w:val="21"/>
          <w:shd w:val="clear" w:color="auto" w:fill="auto"/>
          <w:lang w:val="en-US" w:eastAsia="zh-CN" w:bidi="zh-CN"/>
        </w:rPr>
      </w:pPr>
      <w:bookmarkStart w:id="113" w:name="_Toc27308"/>
      <w:bookmarkStart w:id="114" w:name="_Toc29541"/>
      <w:r>
        <w:rPr>
          <w:rFonts w:hint="eastAsia" w:hAnsi="宋体" w:cs="宋体"/>
          <w:color w:val="auto"/>
          <w:szCs w:val="21"/>
          <w:shd w:val="clear" w:color="auto" w:fill="auto"/>
          <w:lang w:val="en-US" w:eastAsia="zh-CN" w:bidi="zh-CN"/>
        </w:rPr>
        <w:t>系统应上报以下数据：</w:t>
      </w:r>
    </w:p>
    <w:p w14:paraId="5269F9A4">
      <w:pPr>
        <w:pStyle w:val="42"/>
        <w:numPr>
          <w:ilvl w:val="0"/>
          <w:numId w:val="19"/>
        </w:numPr>
        <w:rPr>
          <w:rFonts w:hint="eastAsia"/>
          <w:lang w:val="en-US" w:eastAsia="zh-CN"/>
        </w:rPr>
      </w:pPr>
      <w:r>
        <w:rPr>
          <w:rFonts w:hint="eastAsia"/>
          <w:lang w:val="en-US" w:eastAsia="zh-CN"/>
        </w:rPr>
        <w:t>静力水准仪液位高</w:t>
      </w:r>
      <w:bookmarkEnd w:id="113"/>
      <w:bookmarkEnd w:id="114"/>
      <w:bookmarkStart w:id="115" w:name="_Toc19373"/>
      <w:bookmarkStart w:id="116" w:name="_Toc18309"/>
      <w:r>
        <w:rPr>
          <w:rFonts w:hint="eastAsia"/>
          <w:lang w:val="en-US" w:eastAsia="zh-CN"/>
        </w:rPr>
        <w:t>；</w:t>
      </w:r>
    </w:p>
    <w:p w14:paraId="6A3032C9">
      <w:pPr>
        <w:pStyle w:val="42"/>
        <w:numPr>
          <w:ilvl w:val="0"/>
          <w:numId w:val="19"/>
        </w:numPr>
        <w:rPr>
          <w:rFonts w:hint="eastAsia"/>
          <w:lang w:val="en-US" w:eastAsia="zh-CN"/>
        </w:rPr>
      </w:pPr>
      <w:r>
        <w:rPr>
          <w:rFonts w:hint="eastAsia"/>
          <w:lang w:val="en-US" w:eastAsia="zh-CN"/>
        </w:rPr>
        <w:t>分层标组系统沉降差</w:t>
      </w:r>
      <w:bookmarkEnd w:id="115"/>
      <w:bookmarkEnd w:id="116"/>
      <w:bookmarkStart w:id="117" w:name="_Toc32237"/>
      <w:bookmarkStart w:id="118" w:name="_Toc8858"/>
      <w:r>
        <w:rPr>
          <w:rFonts w:hint="eastAsia"/>
          <w:lang w:val="en-US" w:eastAsia="zh-CN"/>
        </w:rPr>
        <w:t>、累计调整差</w:t>
      </w:r>
      <w:bookmarkEnd w:id="117"/>
      <w:bookmarkEnd w:id="118"/>
      <w:bookmarkStart w:id="119" w:name="_Toc21010"/>
      <w:bookmarkStart w:id="120" w:name="_Toc25515"/>
      <w:r>
        <w:rPr>
          <w:rFonts w:hint="eastAsia"/>
          <w:lang w:val="en-US" w:eastAsia="zh-CN"/>
        </w:rPr>
        <w:t>、沉降量</w:t>
      </w:r>
      <w:bookmarkEnd w:id="119"/>
      <w:bookmarkEnd w:id="120"/>
      <w:r>
        <w:rPr>
          <w:rFonts w:hint="eastAsia"/>
          <w:lang w:val="en-US" w:eastAsia="zh-CN"/>
        </w:rPr>
        <w:t>；</w:t>
      </w:r>
    </w:p>
    <w:p w14:paraId="3B960EF1">
      <w:pPr>
        <w:pStyle w:val="42"/>
        <w:numPr>
          <w:ilvl w:val="0"/>
          <w:numId w:val="19"/>
        </w:numPr>
        <w:rPr>
          <w:rFonts w:hint="eastAsia"/>
          <w:lang w:val="en-US" w:eastAsia="zh-CN"/>
        </w:rPr>
      </w:pPr>
      <w:bookmarkStart w:id="121" w:name="_Toc29690"/>
      <w:bookmarkStart w:id="122" w:name="_Toc103"/>
      <w:r>
        <w:rPr>
          <w:rFonts w:hint="eastAsia"/>
          <w:lang w:val="en-US" w:eastAsia="zh-CN"/>
        </w:rPr>
        <w:t>液体温度、系统电压、电量、液位状态（满油、正常、欠油）。</w:t>
      </w:r>
      <w:bookmarkEnd w:id="121"/>
      <w:bookmarkEnd w:id="122"/>
    </w:p>
    <w:p w14:paraId="4A40B7A6">
      <w:pPr>
        <w:pStyle w:val="35"/>
        <w:rPr>
          <w:rFonts w:hint="eastAsia"/>
          <w:lang w:val="en-US" w:eastAsia="zh-CN"/>
        </w:rPr>
      </w:pPr>
      <w:bookmarkStart w:id="123" w:name="_Toc10554"/>
      <w:bookmarkStart w:id="124" w:name="_Toc30990"/>
      <w:bookmarkStart w:id="125" w:name="_Toc8390"/>
      <w:bookmarkStart w:id="126" w:name="_Toc15125"/>
      <w:r>
        <w:rPr>
          <w:rFonts w:hint="eastAsia"/>
          <w:lang w:val="en-US" w:eastAsia="zh-CN"/>
        </w:rPr>
        <w:t>云平台及数据分析</w:t>
      </w:r>
      <w:bookmarkEnd w:id="123"/>
      <w:bookmarkEnd w:id="124"/>
      <w:bookmarkEnd w:id="125"/>
      <w:bookmarkEnd w:id="126"/>
    </w:p>
    <w:p w14:paraId="492D937B">
      <w:pPr>
        <w:pStyle w:val="36"/>
        <w:rPr>
          <w:rFonts w:hint="eastAsia" w:ascii="宋体" w:hAnsi="宋体" w:eastAsia="宋体" w:cs="宋体"/>
          <w:lang w:val="en-US" w:eastAsia="zh-CN"/>
        </w:rPr>
      </w:pPr>
      <w:bookmarkStart w:id="127" w:name="_Toc29920"/>
      <w:bookmarkStart w:id="128" w:name="_Toc27233"/>
      <w:bookmarkStart w:id="129" w:name="_Toc912"/>
      <w:r>
        <w:rPr>
          <w:rFonts w:hint="eastAsia" w:ascii="宋体" w:hAnsi="宋体" w:eastAsia="宋体" w:cs="宋体"/>
          <w:lang w:val="en-US" w:eastAsia="zh-CN"/>
        </w:rPr>
        <w:t>地面沉降云平台建设内容应包括分层标组管理、仪器管理、沉降数据展示和区域沉降热力图。</w:t>
      </w:r>
      <w:bookmarkEnd w:id="127"/>
      <w:bookmarkEnd w:id="128"/>
      <w:bookmarkEnd w:id="129"/>
    </w:p>
    <w:p w14:paraId="6323BAA3">
      <w:pPr>
        <w:pStyle w:val="36"/>
        <w:rPr>
          <w:rFonts w:hint="eastAsia" w:ascii="宋体" w:hAnsi="宋体" w:eastAsia="宋体" w:cs="宋体"/>
          <w:lang w:val="en-US" w:eastAsia="zh-CN"/>
        </w:rPr>
      </w:pPr>
      <w:bookmarkStart w:id="130" w:name="_Toc8231"/>
      <w:bookmarkStart w:id="131" w:name="_Toc15283"/>
      <w:bookmarkStart w:id="132" w:name="_Toc5153"/>
      <w:r>
        <w:rPr>
          <w:rFonts w:hint="eastAsia" w:ascii="宋体" w:hAnsi="宋体" w:eastAsia="宋体" w:cs="宋体"/>
          <w:lang w:val="en-US" w:eastAsia="zh-CN"/>
        </w:rPr>
        <w:t>数据展示：采用某一时间尺度的沉降量曲线表达，横坐标为时间，纵坐标为沉降量，画曲线表达。</w:t>
      </w:r>
      <w:bookmarkEnd w:id="130"/>
      <w:bookmarkEnd w:id="131"/>
      <w:bookmarkEnd w:id="132"/>
    </w:p>
    <w:p w14:paraId="5CD747B1">
      <w:pPr>
        <w:pStyle w:val="36"/>
        <w:rPr>
          <w:rFonts w:hint="eastAsia" w:ascii="宋体" w:hAnsi="宋体" w:eastAsia="宋体" w:cs="宋体"/>
          <w:lang w:val="en-US" w:eastAsia="zh-CN"/>
        </w:rPr>
      </w:pPr>
      <w:bookmarkStart w:id="133" w:name="_Toc20467"/>
      <w:bookmarkStart w:id="134" w:name="_Toc8252"/>
      <w:bookmarkStart w:id="135" w:name="_Toc11546"/>
      <w:r>
        <w:rPr>
          <w:rFonts w:hint="eastAsia" w:ascii="宋体" w:hAnsi="宋体" w:eastAsia="宋体" w:cs="宋体"/>
        </w:rPr>
        <w:t>分层沉降横道图</w:t>
      </w:r>
      <w:r>
        <w:rPr>
          <w:rFonts w:hint="eastAsia" w:ascii="宋体" w:hAnsi="宋体" w:eastAsia="宋体" w:cs="宋体"/>
          <w:lang w:val="en-US" w:eastAsia="zh-CN"/>
        </w:rPr>
        <w:t>：左侧岩性柱状图、分层标测量点，右侧显示沉降量和分层沉降量。分层沉降柱状图示意图详见附录A.3。</w:t>
      </w:r>
      <w:bookmarkEnd w:id="133"/>
      <w:bookmarkEnd w:id="134"/>
      <w:bookmarkEnd w:id="135"/>
    </w:p>
    <w:p w14:paraId="4BA79B8E">
      <w:pPr>
        <w:pStyle w:val="36"/>
        <w:rPr>
          <w:rFonts w:hint="eastAsia" w:ascii="宋体" w:hAnsi="宋体" w:eastAsia="宋体" w:cs="宋体"/>
          <w:lang w:val="en-US" w:eastAsia="zh-CN"/>
        </w:rPr>
      </w:pPr>
      <w:bookmarkStart w:id="136" w:name="_Toc16513"/>
      <w:bookmarkStart w:id="137" w:name="_Toc16354"/>
      <w:bookmarkStart w:id="138" w:name="_Toc17927"/>
      <w:r>
        <w:rPr>
          <w:rFonts w:hint="eastAsia" w:ascii="宋体" w:hAnsi="宋体" w:eastAsia="宋体" w:cs="宋体"/>
          <w:lang w:val="en-US" w:eastAsia="zh-CN"/>
        </w:rPr>
        <w:t>区域沉降热力图：一定区域所有分层标组的地面标沉降量，用颜色表示，画出沉降量大小分布图。沉降量越小，颜色越浅，沉降量越大，颜色越深。</w:t>
      </w:r>
      <w:bookmarkEnd w:id="136"/>
      <w:bookmarkEnd w:id="137"/>
      <w:bookmarkEnd w:id="138"/>
    </w:p>
    <w:p w14:paraId="276F1687">
      <w:pPr>
        <w:pStyle w:val="36"/>
        <w:rPr>
          <w:rFonts w:hint="eastAsia"/>
        </w:rPr>
      </w:pPr>
      <w:bookmarkStart w:id="139" w:name="_Toc23798"/>
      <w:r>
        <w:rPr>
          <w:rFonts w:hint="eastAsia" w:ascii="宋体" w:hAnsi="宋体" w:eastAsia="宋体" w:cs="宋体"/>
        </w:rPr>
        <w:t>数据异常诊断：云平台应具备监测数据异常自动诊断功能，对以下典型异常情况进行识别和标记：</w:t>
      </w:r>
      <w:bookmarkEnd w:id="139"/>
    </w:p>
    <w:p w14:paraId="2338F0A3">
      <w:pPr>
        <w:pStyle w:val="42"/>
        <w:numPr>
          <w:ilvl w:val="0"/>
          <w:numId w:val="20"/>
        </w:numPr>
        <w:rPr>
          <w:rFonts w:hint="default"/>
        </w:rPr>
      </w:pPr>
      <w:r>
        <w:rPr>
          <w:rFonts w:hint="default"/>
        </w:rPr>
        <w:t>数据跳变：</w:t>
      </w:r>
      <w:r>
        <w:rPr>
          <w:rFonts w:hint="eastAsia"/>
          <w:lang w:val="en-US" w:eastAsia="zh-CN"/>
        </w:rPr>
        <w:t>本次</w:t>
      </w:r>
      <w:r>
        <w:rPr>
          <w:rFonts w:hint="default"/>
        </w:rPr>
        <w:t>采集数据较前一</w:t>
      </w:r>
      <w:r>
        <w:rPr>
          <w:rFonts w:hint="eastAsia"/>
          <w:lang w:val="en-US" w:eastAsia="zh-CN"/>
        </w:rPr>
        <w:t>次</w:t>
      </w:r>
      <w:r>
        <w:rPr>
          <w:rFonts w:hint="default"/>
        </w:rPr>
        <w:t>变化量超过预设阈值，应标记为疑似异常；</w:t>
      </w:r>
    </w:p>
    <w:p w14:paraId="40B8AD91">
      <w:pPr>
        <w:pStyle w:val="42"/>
        <w:numPr>
          <w:ilvl w:val="0"/>
          <w:numId w:val="20"/>
        </w:numPr>
        <w:rPr>
          <w:rFonts w:hint="default"/>
        </w:rPr>
      </w:pPr>
      <w:r>
        <w:rPr>
          <w:rFonts w:hint="default"/>
        </w:rPr>
        <w:t>趋势异常：</w:t>
      </w:r>
      <w:r>
        <w:rPr>
          <w:rFonts w:hint="eastAsia"/>
          <w:lang w:eastAsia="zh-CN"/>
        </w:rPr>
        <w:t>沉降量</w:t>
      </w:r>
      <w:r>
        <w:rPr>
          <w:rFonts w:hint="default"/>
        </w:rPr>
        <w:t>曲线出现不符合地质规律的突然反向或加速，连续超过3个采集周期时，应标记为</w:t>
      </w:r>
      <w:r>
        <w:rPr>
          <w:rFonts w:hint="eastAsia"/>
          <w:lang w:val="en-US" w:eastAsia="zh-CN"/>
        </w:rPr>
        <w:t>沉降</w:t>
      </w:r>
      <w:r>
        <w:rPr>
          <w:rFonts w:hint="default"/>
        </w:rPr>
        <w:t>异常；</w:t>
      </w:r>
    </w:p>
    <w:p w14:paraId="0DDC4A04">
      <w:pPr>
        <w:pStyle w:val="42"/>
        <w:numPr>
          <w:ilvl w:val="0"/>
          <w:numId w:val="20"/>
        </w:numPr>
        <w:rPr>
          <w:rFonts w:hint="default"/>
        </w:rPr>
      </w:pPr>
      <w:r>
        <w:rPr>
          <w:rFonts w:hint="default"/>
        </w:rPr>
        <w:t>数据中断：单台仪器连续超过2个采集周期无数据上报，应标记为通信异常；</w:t>
      </w:r>
    </w:p>
    <w:p w14:paraId="4F7413E6">
      <w:pPr>
        <w:pStyle w:val="42"/>
        <w:numPr>
          <w:ilvl w:val="0"/>
          <w:numId w:val="20"/>
        </w:numPr>
        <w:rPr>
          <w:rFonts w:hint="default"/>
        </w:rPr>
      </w:pPr>
      <w:r>
        <w:rPr>
          <w:rFonts w:hint="default"/>
        </w:rPr>
        <w:t>液位超限预警：液位高接近满量程或0值（距限值≤10mm）时，应标记为维护预警；</w:t>
      </w:r>
    </w:p>
    <w:p w14:paraId="272E2B04">
      <w:pPr>
        <w:pStyle w:val="42"/>
        <w:numPr>
          <w:ilvl w:val="0"/>
          <w:numId w:val="20"/>
        </w:numPr>
        <w:rPr>
          <w:rFonts w:hint="default"/>
        </w:rPr>
      </w:pPr>
      <w:r>
        <w:rPr>
          <w:rFonts w:hint="default"/>
        </w:rPr>
        <w:t>周期性波动异常：液位高或沉降差出现昼夜波动幅度</w:t>
      </w:r>
      <w:r>
        <w:rPr>
          <w:rFonts w:hint="eastAsia"/>
          <w:lang w:eastAsia="zh-CN"/>
        </w:rPr>
        <w:t>超过仪器精度5倍</w:t>
      </w:r>
      <w:r>
        <w:rPr>
          <w:rFonts w:hint="default"/>
        </w:rPr>
        <w:t>，应标记为液管气泡或温度补偿异常预警；</w:t>
      </w:r>
    </w:p>
    <w:p w14:paraId="5675F642">
      <w:pPr>
        <w:pStyle w:val="42"/>
        <w:numPr>
          <w:ilvl w:val="0"/>
          <w:numId w:val="20"/>
        </w:numPr>
        <w:rPr>
          <w:rFonts w:hint="default"/>
          <w:lang w:val="en-US" w:eastAsia="zh-CN"/>
        </w:rPr>
      </w:pPr>
      <w:r>
        <w:rPr>
          <w:rFonts w:hint="default"/>
        </w:rPr>
        <w:t>环境参数异常：液体温度、供电电压、电量等环境数据超出正常范围时，应标记为系统运行异常。</w:t>
      </w:r>
    </w:p>
    <w:p w14:paraId="285C847E">
      <w:pPr>
        <w:pStyle w:val="35"/>
        <w:rPr>
          <w:rFonts w:hint="eastAsia"/>
          <w:lang w:val="en-US" w:eastAsia="zh-CN"/>
        </w:rPr>
      </w:pPr>
      <w:bookmarkStart w:id="140" w:name="_Toc16021"/>
      <w:bookmarkStart w:id="141" w:name="_Toc26363"/>
      <w:r>
        <w:rPr>
          <w:rFonts w:hint="eastAsia"/>
          <w:lang w:val="en-US" w:eastAsia="zh-CN"/>
        </w:rPr>
        <w:t>运行管理与维护</w:t>
      </w:r>
      <w:bookmarkEnd w:id="140"/>
      <w:bookmarkEnd w:id="141"/>
    </w:p>
    <w:p w14:paraId="6995932D">
      <w:pPr>
        <w:pStyle w:val="36"/>
        <w:rPr>
          <w:rFonts w:hint="default"/>
          <w:lang w:val="en-US" w:eastAsia="zh-CN"/>
        </w:rPr>
      </w:pPr>
      <w:bookmarkStart w:id="142" w:name="_Toc10323"/>
      <w:bookmarkStart w:id="143" w:name="_Toc23692"/>
      <w:r>
        <w:rPr>
          <w:rFonts w:hint="default"/>
          <w:lang w:val="en-US" w:eastAsia="zh-CN"/>
        </w:rPr>
        <w:t>运行管理</w:t>
      </w:r>
      <w:bookmarkEnd w:id="142"/>
      <w:bookmarkEnd w:id="143"/>
    </w:p>
    <w:p w14:paraId="764DD0EB">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静力水准系统建成验收后，宜经过稳定性评价后方可正式使用。</w:t>
      </w:r>
    </w:p>
    <w:p w14:paraId="5A9EC367">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系统运行期间应定期进行巡查，一般不超过6个月巡查一次。</w:t>
      </w:r>
    </w:p>
    <w:p w14:paraId="33A30EF4">
      <w:pPr>
        <w:pStyle w:val="40"/>
        <w:spacing w:before="156" w:after="156"/>
        <w:rPr>
          <w:rFonts w:hint="eastAsia" w:ascii="宋体" w:hAnsi="宋体" w:eastAsia="宋体" w:cs="宋体"/>
        </w:rPr>
      </w:pPr>
      <w:r>
        <w:rPr>
          <w:rFonts w:hint="eastAsia" w:ascii="宋体" w:hAnsi="宋体" w:eastAsia="宋体" w:cs="宋体"/>
        </w:rPr>
        <w:t>系统发出预警信息时，应立即通过云平台查看异常</w:t>
      </w:r>
      <w:r>
        <w:rPr>
          <w:rFonts w:hint="eastAsia" w:ascii="宋体" w:hAnsi="宋体" w:eastAsia="宋体" w:cs="宋体"/>
          <w:lang w:val="en-US" w:eastAsia="zh-CN"/>
        </w:rPr>
        <w:t>信息</w:t>
      </w:r>
      <w:r>
        <w:rPr>
          <w:rFonts w:hint="eastAsia" w:ascii="宋体" w:hAnsi="宋体" w:eastAsia="宋体" w:cs="宋体"/>
        </w:rPr>
        <w:t>，初步判断异常原因，并按照以下时限要求进行现场巡查：</w:t>
      </w:r>
    </w:p>
    <w:p w14:paraId="3201D20F">
      <w:pPr>
        <w:pStyle w:val="42"/>
        <w:numPr>
          <w:ilvl w:val="0"/>
          <w:numId w:val="21"/>
        </w:numPr>
        <w:rPr>
          <w:rFonts w:hint="default"/>
        </w:rPr>
      </w:pPr>
      <w:r>
        <w:rPr>
          <w:rFonts w:hint="default"/>
        </w:rPr>
        <w:t>液位超限预警：应在24小时内到达现场，进行仪器底座调整或补液；</w:t>
      </w:r>
    </w:p>
    <w:p w14:paraId="2407E07E">
      <w:pPr>
        <w:pStyle w:val="42"/>
        <w:numPr>
          <w:ilvl w:val="0"/>
          <w:numId w:val="21"/>
        </w:numPr>
        <w:rPr>
          <w:rFonts w:hint="default"/>
        </w:rPr>
      </w:pPr>
      <w:r>
        <w:rPr>
          <w:rFonts w:hint="default"/>
        </w:rPr>
        <w:t>数据中断或供电异常：应在</w:t>
      </w:r>
      <w:r>
        <w:rPr>
          <w:rFonts w:hint="eastAsia"/>
          <w:lang w:val="en-US" w:eastAsia="zh-CN"/>
        </w:rPr>
        <w:t>24</w:t>
      </w:r>
      <w:r>
        <w:rPr>
          <w:rFonts w:hint="default"/>
        </w:rPr>
        <w:t>小时内到达现场，排查线路、供电及RTU运行状态；</w:t>
      </w:r>
    </w:p>
    <w:p w14:paraId="0E94BB90">
      <w:pPr>
        <w:pStyle w:val="42"/>
        <w:numPr>
          <w:ilvl w:val="0"/>
          <w:numId w:val="21"/>
        </w:numPr>
        <w:rPr>
          <w:rFonts w:hint="default"/>
        </w:rPr>
      </w:pPr>
      <w:r>
        <w:rPr>
          <w:rFonts w:hint="default"/>
        </w:rPr>
        <w:t>数据跳变或趋势异常：应在</w:t>
      </w:r>
      <w:r>
        <w:rPr>
          <w:rFonts w:hint="eastAsia"/>
          <w:lang w:val="en-US" w:eastAsia="zh-CN"/>
        </w:rPr>
        <w:t>24</w:t>
      </w:r>
      <w:r>
        <w:rPr>
          <w:rFonts w:hint="default"/>
        </w:rPr>
        <w:t>小时内到达现场，排查仪器安装稳固性、液管密封性及外部扰动因素；</w:t>
      </w:r>
    </w:p>
    <w:p w14:paraId="373669A2">
      <w:pPr>
        <w:pStyle w:val="42"/>
        <w:numPr>
          <w:ilvl w:val="0"/>
          <w:numId w:val="21"/>
        </w:numPr>
        <w:rPr>
          <w:rFonts w:hint="default"/>
        </w:rPr>
      </w:pPr>
      <w:r>
        <w:rPr>
          <w:rFonts w:hint="default"/>
        </w:rPr>
        <w:t>周期性波动异常：应在7日内到达现场，重点检查液管气泡、气管联通性及温度补偿情况。</w:t>
      </w:r>
    </w:p>
    <w:p w14:paraId="10C3729C">
      <w:pPr>
        <w:pStyle w:val="36"/>
        <w:rPr>
          <w:rFonts w:hint="default"/>
          <w:lang w:val="en-US" w:eastAsia="zh-CN"/>
        </w:rPr>
      </w:pPr>
      <w:bookmarkStart w:id="144" w:name="_Toc21434"/>
      <w:bookmarkStart w:id="145" w:name="_Toc3518"/>
      <w:r>
        <w:rPr>
          <w:rFonts w:hint="default"/>
          <w:lang w:val="en-US" w:eastAsia="zh-CN"/>
        </w:rPr>
        <w:t>维护</w:t>
      </w:r>
      <w:bookmarkEnd w:id="144"/>
      <w:bookmarkEnd w:id="145"/>
    </w:p>
    <w:p w14:paraId="23DDF021">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仪器维护前，应通过上位机或云端设置系统进入“维护状态”，系统自动记录此时的沉降量；仪器底座调整后，静置24小时，即产生新的第一个沉降差，退出维护状态时，系统自动计算新的累计调整差，进入正常工作状态。</w:t>
      </w:r>
    </w:p>
    <w:p w14:paraId="4092427F">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液管内存在气泡时，宜重新安装液管。</w:t>
      </w:r>
    </w:p>
    <w:p w14:paraId="1D3CFDA4">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每次维护或巡查，应查看电源供电是否正常、配电箱内是否进水或存在异物、液管接头是否漏油、储液罐液体数量、气管是否被堵塞或进入异物等内容，发现异常及时维护。</w:t>
      </w:r>
    </w:p>
    <w:p w14:paraId="5C187CDA">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针对沉降量较大分层标组，每次巡查时，应查看仪器顶部和保护桶顶部间隙大小，间隙小于50mm时，应及时采取措施。</w:t>
      </w:r>
    </w:p>
    <w:p w14:paraId="36783CF0">
      <w:pPr>
        <w:pStyle w:val="40"/>
        <w:spacing w:before="156" w:after="156"/>
        <w:rPr>
          <w:rFonts w:hint="eastAsia" w:ascii="宋体" w:hAnsi="宋体" w:eastAsia="宋体" w:cs="宋体"/>
          <w:lang w:val="en-US" w:eastAsia="zh-CN"/>
        </w:rPr>
      </w:pPr>
      <w:r>
        <w:rPr>
          <w:rFonts w:hint="eastAsia" w:ascii="宋体" w:hAnsi="宋体" w:eastAsia="宋体" w:cs="宋体"/>
        </w:rPr>
        <w:t>数据异常处置完成后，应在云平台异常事件台账中完整记录处置过程，并持续观察后续不少于72小时数据，确认异常消除后方可关闭事件。若异常未消除，应及时升级处置方案。</w:t>
      </w:r>
    </w:p>
    <w:p w14:paraId="74F23C94">
      <w:pPr>
        <w:pStyle w:val="35"/>
        <w:rPr>
          <w:rFonts w:hint="eastAsia"/>
          <w:lang w:val="en-US" w:eastAsia="zh-CN"/>
        </w:rPr>
      </w:pPr>
      <w:bookmarkStart w:id="146" w:name="_Toc6738"/>
      <w:bookmarkStart w:id="147" w:name="_Toc2920"/>
      <w:bookmarkStart w:id="148" w:name="_Toc21072"/>
      <w:r>
        <w:rPr>
          <w:rFonts w:hint="eastAsia"/>
          <w:lang w:val="en-US" w:eastAsia="zh-CN"/>
        </w:rPr>
        <w:t>报告编制</w:t>
      </w:r>
      <w:bookmarkEnd w:id="146"/>
      <w:bookmarkEnd w:id="147"/>
      <w:bookmarkEnd w:id="148"/>
    </w:p>
    <w:p w14:paraId="46EA43B3">
      <w:pPr>
        <w:pStyle w:val="36"/>
        <w:rPr>
          <w:rFonts w:hint="eastAsia" w:ascii="宋体" w:hAnsi="宋体" w:eastAsia="宋体" w:cs="宋体"/>
          <w:lang w:val="en-US" w:eastAsia="zh-CN"/>
        </w:rPr>
      </w:pPr>
      <w:bookmarkStart w:id="149" w:name="_Toc9234"/>
      <w:r>
        <w:rPr>
          <w:rFonts w:hint="eastAsia" w:ascii="宋体" w:hAnsi="宋体" w:eastAsia="宋体" w:cs="宋体"/>
          <w:lang w:val="en-US" w:eastAsia="zh-CN"/>
        </w:rPr>
        <w:t>报告分为监测月报和监测年报，按以下要求编制：</w:t>
      </w:r>
      <w:bookmarkEnd w:id="149"/>
    </w:p>
    <w:p w14:paraId="4AEFAD21">
      <w:pPr>
        <w:pStyle w:val="42"/>
        <w:numPr>
          <w:ilvl w:val="0"/>
          <w:numId w:val="22"/>
        </w:numPr>
        <w:rPr>
          <w:rFonts w:hint="eastAsia" w:ascii="宋体" w:hAnsi="宋体" w:eastAsia="宋体" w:cs="宋体"/>
          <w:lang w:val="en-US" w:eastAsia="zh-CN"/>
        </w:rPr>
      </w:pPr>
      <w:r>
        <w:rPr>
          <w:rFonts w:hint="eastAsia" w:ascii="宋体" w:hAnsi="宋体" w:eastAsia="宋体" w:cs="宋体"/>
          <w:lang w:val="en-US" w:eastAsia="zh-CN"/>
        </w:rPr>
        <w:t>月报：每月结束后5个工作日内提交，反映当月地面沉降变化情况及系统运行状态。</w:t>
      </w:r>
    </w:p>
    <w:p w14:paraId="3D7D1E59">
      <w:pPr>
        <w:pStyle w:val="42"/>
        <w:numPr>
          <w:ilvl w:val="0"/>
          <w:numId w:val="22"/>
        </w:numPr>
        <w:rPr>
          <w:rFonts w:hint="eastAsia" w:ascii="宋体" w:hAnsi="宋体" w:eastAsia="宋体" w:cs="宋体"/>
          <w:lang w:val="en-US" w:eastAsia="zh-CN"/>
        </w:rPr>
      </w:pPr>
      <w:r>
        <w:rPr>
          <w:rFonts w:hint="eastAsia" w:ascii="宋体" w:hAnsi="宋体" w:eastAsia="宋体" w:cs="宋体"/>
          <w:lang w:val="en-US" w:eastAsia="zh-CN"/>
        </w:rPr>
        <w:t>年报：每年结束后15个工作日内提交，全面总结年度沉降趋势、系统维护记录及数据分析成果。</w:t>
      </w:r>
    </w:p>
    <w:p w14:paraId="3F5E3B4A">
      <w:pPr>
        <w:pStyle w:val="42"/>
        <w:numPr>
          <w:ilvl w:val="0"/>
          <w:numId w:val="22"/>
        </w:numPr>
        <w:rPr>
          <w:rFonts w:hint="eastAsia" w:ascii="宋体" w:hAnsi="宋体" w:eastAsia="宋体" w:cs="宋体"/>
          <w:lang w:val="en-US" w:eastAsia="zh-CN"/>
        </w:rPr>
      </w:pPr>
      <w:r>
        <w:rPr>
          <w:rFonts w:hint="eastAsia" w:ascii="宋体" w:hAnsi="宋体" w:eastAsia="宋体" w:cs="宋体"/>
          <w:lang w:val="en-US" w:eastAsia="zh-CN"/>
        </w:rPr>
        <w:t>专报：按照专项需求提供报告。</w:t>
      </w:r>
    </w:p>
    <w:p w14:paraId="454B5C87">
      <w:pPr>
        <w:pStyle w:val="37"/>
        <w:rPr>
          <w:rFonts w:hint="default"/>
          <w:lang w:val="en-US" w:eastAsia="zh-CN"/>
        </w:rPr>
      </w:pPr>
      <w:bookmarkStart w:id="150" w:name="_Toc4822"/>
      <w:r>
        <w:rPr>
          <w:rFonts w:hint="eastAsia"/>
          <w:lang w:val="en-US" w:eastAsia="zh-CN"/>
        </w:rPr>
        <w:t>报告格式参见附录B</w:t>
      </w:r>
      <w:bookmarkEnd w:id="150"/>
      <w:r>
        <w:rPr>
          <w:rFonts w:hint="eastAsia"/>
          <w:lang w:val="en-US" w:eastAsia="zh-CN"/>
        </w:rPr>
        <w:t>。</w:t>
      </w:r>
    </w:p>
    <w:p w14:paraId="694DB2BF">
      <w:pPr>
        <w:pStyle w:val="36"/>
        <w:rPr>
          <w:rFonts w:hint="default"/>
          <w:lang w:val="en-US" w:eastAsia="zh-CN"/>
        </w:rPr>
      </w:pPr>
      <w:bookmarkStart w:id="151" w:name="_Toc18533"/>
      <w:bookmarkStart w:id="152" w:name="_Toc1642"/>
      <w:r>
        <w:rPr>
          <w:rFonts w:hint="default"/>
          <w:lang w:val="en-US" w:eastAsia="zh-CN"/>
        </w:rPr>
        <w:t>数据报送与归档</w:t>
      </w:r>
      <w:bookmarkEnd w:id="151"/>
      <w:bookmarkEnd w:id="152"/>
    </w:p>
    <w:p w14:paraId="2477D120">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报告以PDF格式报送至委托方及相关管理部门，同时留存纸质版存档。</w:t>
      </w:r>
    </w:p>
    <w:p w14:paraId="1EF9F87F">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原始监测数据（CSV或数据库格式）与报告一同提交，确保数据可追溯。</w:t>
      </w:r>
    </w:p>
    <w:p w14:paraId="5A9552E6">
      <w:pPr>
        <w:pStyle w:val="35"/>
        <w:rPr>
          <w:rFonts w:hint="eastAsia"/>
          <w:lang w:val="en-US" w:eastAsia="zh-CN"/>
        </w:rPr>
      </w:pPr>
      <w:bookmarkStart w:id="153" w:name="_Toc18903"/>
      <w:bookmarkStart w:id="154" w:name="_Toc22538"/>
      <w:r>
        <w:rPr>
          <w:rFonts w:hint="eastAsia"/>
          <w:lang w:val="en-US" w:eastAsia="zh-CN"/>
        </w:rPr>
        <w:t>验收</w:t>
      </w:r>
      <w:bookmarkEnd w:id="153"/>
      <w:bookmarkEnd w:id="154"/>
    </w:p>
    <w:p w14:paraId="7076E0CA">
      <w:pPr>
        <w:pStyle w:val="36"/>
        <w:rPr>
          <w:rFonts w:hint="eastAsia"/>
          <w:lang w:val="en-US" w:eastAsia="zh-CN"/>
        </w:rPr>
      </w:pPr>
      <w:bookmarkStart w:id="155" w:name="_Toc26291"/>
      <w:bookmarkStart w:id="156" w:name="_Toc21211"/>
      <w:r>
        <w:rPr>
          <w:rFonts w:hint="eastAsia"/>
          <w:lang w:val="en-US" w:eastAsia="zh-CN"/>
        </w:rPr>
        <w:t>验收内容</w:t>
      </w:r>
      <w:bookmarkEnd w:id="155"/>
      <w:bookmarkEnd w:id="156"/>
    </w:p>
    <w:p w14:paraId="108921EF">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系统完整性验收：检查静力水准系统各部件，传感器、储液罐、连通管、数据采集器、供电系统、信号传输系统、安装支架等是否按设计文件要求全部安装到位，型号、规格、数量与设计清单一致。</w:t>
      </w:r>
    </w:p>
    <w:p w14:paraId="5A05589E">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安装质量验收：检查仪器安装稳固性、水平度、底座标高一致性；液管无气泡、接头密封无漏油；气管通畅且防水透气阀安装正确；保护设施（标房、保护桶、窨井）符合第5.2条要求；穿线管规格、埋设及密封满足第5.6条要求。</w:t>
      </w:r>
    </w:p>
    <w:p w14:paraId="1E818A0A">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系统调试验收：通电后检查供电、RTU、传感器运行状态及指示灯正常；通过上位机或云平台验证数据采集、传输、上报功能正常，边缘计算输出沉降差、累计调整差、沉降量正确。</w:t>
      </w:r>
    </w:p>
    <w:p w14:paraId="1C25ED25">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环境适应性验收：检查防雷接地及6000V浪涌保护措施；检查防护等级、排水、防虫、防雨、防倒灌等措施有效；在模拟或实际环境条件下测试系统稳定性。</w:t>
      </w:r>
    </w:p>
    <w:p w14:paraId="73923509">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文档资料验收：核对施工记录、安装检查表、调试报告、液体批次证明及温度特性试验记录、仪器合格证及校准证书、设计变更文件等。</w:t>
      </w:r>
    </w:p>
    <w:p w14:paraId="509A869E">
      <w:pPr>
        <w:pStyle w:val="36"/>
        <w:rPr>
          <w:rFonts w:hint="default"/>
          <w:lang w:val="en-US" w:eastAsia="zh-CN"/>
        </w:rPr>
      </w:pPr>
      <w:bookmarkStart w:id="157" w:name="_Toc19540"/>
      <w:bookmarkStart w:id="158" w:name="_Toc17993"/>
      <w:r>
        <w:rPr>
          <w:rFonts w:hint="eastAsia"/>
          <w:lang w:val="en-US" w:eastAsia="zh-CN"/>
        </w:rPr>
        <w:t>验收标准</w:t>
      </w:r>
      <w:bookmarkEnd w:id="157"/>
      <w:bookmarkEnd w:id="158"/>
    </w:p>
    <w:p w14:paraId="3ADE4EE3">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静力水准系统设计是否符合5.3-5.6要求。</w:t>
      </w:r>
    </w:p>
    <w:p w14:paraId="22BE8FB9">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静力水准系统安装效果是否满足第6.1.3要求。</w:t>
      </w:r>
    </w:p>
    <w:p w14:paraId="1ACBA526">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数据通信正常：全部设备在线，数据采集成功率≥99%，边缘计算数值与人工计算比对误差≤0.01mm。</w:t>
      </w:r>
    </w:p>
    <w:p w14:paraId="3B347B1F">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稳定运行测试：系统连续稳定运行≥72h，无异常报警、无数据中断，满量程预警阈值设置正确。</w:t>
      </w:r>
    </w:p>
    <w:p w14:paraId="63795581">
      <w:pPr>
        <w:pStyle w:val="40"/>
        <w:spacing w:before="156" w:after="156"/>
        <w:rPr>
          <w:rFonts w:hint="eastAsia" w:ascii="宋体" w:hAnsi="宋体" w:eastAsia="宋体" w:cs="宋体"/>
          <w:lang w:val="en-US" w:eastAsia="zh-CN"/>
        </w:rPr>
      </w:pPr>
      <w:r>
        <w:rPr>
          <w:rFonts w:hint="eastAsia" w:ascii="宋体" w:hAnsi="宋体" w:eastAsia="宋体" w:cs="宋体"/>
          <w:lang w:val="en-US" w:eastAsia="zh-CN"/>
        </w:rPr>
        <w:t>文档齐全：所列资料完整、签章齐全、内容真实。</w:t>
      </w:r>
    </w:p>
    <w:p w14:paraId="298B7AA1">
      <w:pPr>
        <w:pStyle w:val="30"/>
        <w:ind w:left="0" w:leftChars="0" w:firstLine="0" w:firstLineChars="0"/>
        <w:rPr>
          <w:rFonts w:hint="default"/>
          <w:lang w:val="en-US" w:eastAsia="zh-CN"/>
        </w:rPr>
      </w:pPr>
    </w:p>
    <w:p w14:paraId="34848A87">
      <w:pPr>
        <w:pStyle w:val="30"/>
        <w:rPr>
          <w:rFonts w:hint="eastAsia" w:ascii="宋体" w:hAnsi="宋体" w:eastAsia="宋体" w:cs="宋体"/>
          <w:b/>
          <w:bCs/>
          <w:color w:val="000000"/>
          <w:spacing w:val="0"/>
          <w:w w:val="100"/>
          <w:kern w:val="2"/>
          <w:position w:val="0"/>
          <w:sz w:val="20"/>
          <w:szCs w:val="20"/>
          <w:u w:val="none"/>
          <w:shd w:val="clear" w:color="auto" w:fill="auto"/>
          <w:lang w:val="en-US" w:eastAsia="zh-CN" w:bidi="zh-CN"/>
        </w:rPr>
      </w:pPr>
      <w:r>
        <w:rPr>
          <w:rFonts w:hint="eastAsia" w:ascii="宋体" w:hAnsi="宋体" w:eastAsia="宋体" w:cs="宋体"/>
          <w:b/>
          <w:bCs/>
          <w:color w:val="000000"/>
          <w:spacing w:val="0"/>
          <w:w w:val="100"/>
          <w:kern w:val="2"/>
          <w:position w:val="0"/>
          <w:sz w:val="20"/>
          <w:szCs w:val="20"/>
          <w:u w:val="none"/>
          <w:shd w:val="clear" w:color="auto" w:fill="auto"/>
          <w:lang w:val="en-US" w:eastAsia="zh-CN" w:bidi="zh-CN"/>
        </w:rPr>
        <w:br w:type="page"/>
      </w:r>
    </w:p>
    <w:p w14:paraId="7FAAECC0">
      <w:pPr>
        <w:pStyle w:val="46"/>
        <w:outlineLvl w:val="0"/>
        <w:rPr>
          <w:rFonts w:hint="eastAsia"/>
        </w:rPr>
      </w:pPr>
      <w:bookmarkStart w:id="159" w:name="_Toc26510"/>
      <w:bookmarkStart w:id="160" w:name="_Toc22726"/>
      <w:bookmarkStart w:id="161" w:name="_Toc22593"/>
      <w:bookmarkStart w:id="162" w:name="_Toc19335"/>
      <w:r>
        <w:br w:type="textWrapping"/>
      </w:r>
      <w:bookmarkStart w:id="163" w:name="_Toc450293166"/>
      <w:r>
        <w:rPr>
          <w:rFonts w:hint="eastAsia" w:hAnsi="Times New Roman" w:cs="Times New Roman"/>
        </w:rPr>
        <w:t>（</w:t>
      </w:r>
      <w:r>
        <w:rPr>
          <w:rFonts w:hint="eastAsia" w:hAnsi="Times New Roman" w:cs="Times New Roman"/>
          <w:lang w:val="en-US" w:eastAsia="zh-CN"/>
        </w:rPr>
        <w:t>资料</w:t>
      </w:r>
      <w:r>
        <w:rPr>
          <w:rFonts w:hint="eastAsia" w:hAnsi="Times New Roman" w:cs="Times New Roman"/>
        </w:rPr>
        <w:t>性附录）</w:t>
      </w:r>
      <w:r>
        <w:rPr>
          <w:highlight w:val="none"/>
        </w:rPr>
        <w:br w:type="textWrapping"/>
      </w:r>
      <w:r>
        <w:rPr>
          <w:rFonts w:hint="eastAsia" w:hAnsi="Times New Roman" w:cs="Times New Roman"/>
          <w:lang w:val="en-US" w:eastAsia="zh-CN"/>
        </w:rPr>
        <w:t>静力水准系统安装及数据处理示意图</w:t>
      </w:r>
      <w:bookmarkEnd w:id="159"/>
      <w:bookmarkEnd w:id="160"/>
      <w:bookmarkEnd w:id="161"/>
      <w:bookmarkEnd w:id="163"/>
    </w:p>
    <w:p w14:paraId="60D124E1">
      <w:pPr>
        <w:pStyle w:val="47"/>
        <w:spacing w:before="312" w:after="312"/>
        <w:rPr>
          <w:rFonts w:hint="eastAsia"/>
          <w:lang w:val="en-US" w:eastAsia="zh-CN"/>
        </w:rPr>
      </w:pPr>
      <w:bookmarkStart w:id="164" w:name="_Toc11457"/>
      <w:bookmarkStart w:id="165" w:name="_Toc26017"/>
      <w:bookmarkStart w:id="166" w:name="_Toc23425"/>
      <w:r>
        <w:rPr>
          <w:rFonts w:hint="eastAsia"/>
        </w:rPr>
        <w:t>静力水准仪系统安装示意图</w:t>
      </w:r>
      <w:bookmarkEnd w:id="162"/>
      <w:bookmarkEnd w:id="164"/>
      <w:bookmarkEnd w:id="165"/>
      <w:bookmarkEnd w:id="166"/>
    </w:p>
    <w:p w14:paraId="687A1313">
      <w:pPr>
        <w:keepNext w:val="0"/>
        <w:keepLines w:val="0"/>
        <w:pageBreakBefore w:val="0"/>
        <w:widowControl w:val="0"/>
        <w:kinsoku/>
        <w:wordWrap/>
        <w:overflowPunct/>
        <w:topLinePunct w:val="0"/>
        <w:autoSpaceDE/>
        <w:autoSpaceDN/>
        <w:bidi w:val="0"/>
        <w:adjustRightInd w:val="0"/>
        <w:snapToGrid w:val="0"/>
        <w:spacing w:after="0" w:line="240" w:lineRule="auto"/>
        <w:ind w:firstLine="420" w:firstLineChars="200"/>
        <w:jc w:val="center"/>
        <w:textAlignment w:val="auto"/>
        <w:outlineLvl w:val="9"/>
        <w:rPr>
          <w:rFonts w:hint="eastAsia" w:eastAsiaTheme="minorEastAsia"/>
          <w:lang w:eastAsia="zh-CN"/>
        </w:rPr>
      </w:pPr>
      <w:r>
        <w:drawing>
          <wp:inline distT="0" distB="0" distL="114300" distR="114300">
            <wp:extent cx="5290185" cy="2849880"/>
            <wp:effectExtent l="0" t="0" r="5715"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3"/>
                    <a:stretch>
                      <a:fillRect/>
                    </a:stretch>
                  </pic:blipFill>
                  <pic:spPr>
                    <a:xfrm>
                      <a:off x="0" y="0"/>
                      <a:ext cx="5290185" cy="2849880"/>
                    </a:xfrm>
                    <a:prstGeom prst="rect">
                      <a:avLst/>
                    </a:prstGeom>
                    <a:noFill/>
                    <a:ln>
                      <a:noFill/>
                    </a:ln>
                  </pic:spPr>
                </pic:pic>
              </a:graphicData>
            </a:graphic>
          </wp:inline>
        </w:drawing>
      </w:r>
    </w:p>
    <w:p w14:paraId="102F3303">
      <w:pPr>
        <w:pStyle w:val="50"/>
        <w:numPr>
          <w:ilvl w:val="0"/>
          <w:numId w:val="0"/>
        </w:numPr>
        <w:tabs>
          <w:tab w:val="left" w:pos="360"/>
        </w:tabs>
        <w:ind w:left="0" w:leftChars="0" w:firstLine="0" w:firstLineChars="0"/>
        <w:rPr>
          <w:rFonts w:hint="default" w:ascii="宋体" w:hAnsi="宋体" w:eastAsia="宋体" w:cs="宋体"/>
          <w:b/>
          <w:bCs/>
          <w:color w:val="000000"/>
          <w:spacing w:val="0"/>
          <w:w w:val="100"/>
          <w:kern w:val="2"/>
          <w:position w:val="0"/>
          <w:sz w:val="20"/>
          <w:szCs w:val="20"/>
          <w:u w:val="none"/>
          <w:shd w:val="clear" w:color="auto" w:fill="auto"/>
          <w:lang w:val="en-US" w:eastAsia="zh-CN" w:bidi="zh-CN"/>
        </w:rPr>
      </w:pPr>
      <w:r>
        <w:rPr>
          <w:rFonts w:hint="eastAsia" w:hAnsi="Times New Roman" w:cs="Times New Roman"/>
          <w:lang w:val="en-US" w:eastAsia="zh-CN"/>
        </w:rPr>
        <w:t>图A.1　静力水准仪系统安装示意图</w:t>
      </w:r>
    </w:p>
    <w:p w14:paraId="58DF3CF1">
      <w:pPr>
        <w:pStyle w:val="47"/>
        <w:spacing w:before="312" w:after="312"/>
        <w:rPr>
          <w:rFonts w:hint="eastAsia"/>
          <w:lang w:val="en-US" w:eastAsia="zh-CN"/>
        </w:rPr>
      </w:pPr>
      <w:bookmarkStart w:id="167" w:name="_Toc20138"/>
      <w:bookmarkStart w:id="168" w:name="_Toc22805"/>
      <w:bookmarkStart w:id="169" w:name="_Toc8695"/>
      <w:bookmarkStart w:id="170" w:name="_Toc10732"/>
      <w:r>
        <w:rPr>
          <w:rFonts w:hint="eastAsia"/>
          <w:lang w:val="en-US" w:eastAsia="zh-CN"/>
        </w:rPr>
        <w:t>现场物联网连接示意图</w:t>
      </w:r>
      <w:bookmarkEnd w:id="167"/>
      <w:bookmarkEnd w:id="168"/>
      <w:bookmarkEnd w:id="169"/>
      <w:bookmarkEnd w:id="170"/>
    </w:p>
    <w:p w14:paraId="52BCC1D4">
      <w:pPr>
        <w:keepNext w:val="0"/>
        <w:keepLines w:val="0"/>
        <w:pageBreakBefore w:val="0"/>
        <w:widowControl w:val="0"/>
        <w:kinsoku/>
        <w:wordWrap/>
        <w:overflowPunct/>
        <w:topLinePunct w:val="0"/>
        <w:autoSpaceDE/>
        <w:autoSpaceDN/>
        <w:bidi w:val="0"/>
        <w:adjustRightInd w:val="0"/>
        <w:snapToGrid w:val="0"/>
        <w:spacing w:after="0" w:line="240" w:lineRule="auto"/>
        <w:ind w:firstLine="420" w:firstLineChars="200"/>
        <w:jc w:val="center"/>
        <w:textAlignment w:val="auto"/>
        <w:outlineLvl w:val="9"/>
        <w:rPr>
          <w:rFonts w:hint="eastAsia" w:ascii="宋体" w:hAnsi="宋体" w:eastAsia="宋体" w:cs="宋体"/>
        </w:rPr>
      </w:pPr>
      <w:r>
        <w:rPr>
          <w:rFonts w:hint="eastAsia" w:ascii="宋体" w:hAnsi="宋体" w:eastAsia="宋体" w:cs="宋体"/>
        </w:rPr>
        <w:drawing>
          <wp:inline distT="0" distB="0" distL="114300" distR="114300">
            <wp:extent cx="5196205" cy="3451860"/>
            <wp:effectExtent l="0" t="0" r="4445" b="1524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24"/>
                    <a:stretch>
                      <a:fillRect/>
                    </a:stretch>
                  </pic:blipFill>
                  <pic:spPr>
                    <a:xfrm>
                      <a:off x="0" y="0"/>
                      <a:ext cx="5196205" cy="3451860"/>
                    </a:xfrm>
                    <a:prstGeom prst="rect">
                      <a:avLst/>
                    </a:prstGeom>
                    <a:noFill/>
                    <a:ln>
                      <a:noFill/>
                    </a:ln>
                  </pic:spPr>
                </pic:pic>
              </a:graphicData>
            </a:graphic>
          </wp:inline>
        </w:drawing>
      </w:r>
    </w:p>
    <w:p w14:paraId="28DDA982">
      <w:pPr>
        <w:pStyle w:val="50"/>
        <w:numPr>
          <w:ilvl w:val="0"/>
          <w:numId w:val="0"/>
        </w:numPr>
        <w:tabs>
          <w:tab w:val="left" w:pos="360"/>
        </w:tabs>
        <w:ind w:left="0" w:leftChars="0" w:firstLine="0" w:firstLineChars="0"/>
        <w:rPr>
          <w:rFonts w:hint="eastAsia" w:ascii="宋体" w:hAnsi="宋体" w:eastAsia="宋体" w:cs="宋体"/>
          <w:b/>
          <w:bCs/>
          <w:color w:val="000000"/>
          <w:spacing w:val="0"/>
          <w:w w:val="100"/>
          <w:kern w:val="2"/>
          <w:position w:val="0"/>
          <w:sz w:val="20"/>
          <w:szCs w:val="20"/>
          <w:u w:val="none"/>
          <w:shd w:val="clear" w:color="auto" w:fill="auto"/>
          <w:lang w:val="en-US" w:eastAsia="zh-CN" w:bidi="zh-CN"/>
        </w:rPr>
      </w:pPr>
      <w:r>
        <w:rPr>
          <w:rFonts w:hint="eastAsia" w:hAnsi="Times New Roman" w:cs="Times New Roman"/>
          <w:lang w:val="en-US" w:eastAsia="zh-CN"/>
        </w:rPr>
        <w:t>图A.2　现场物联网连接示意图</w:t>
      </w:r>
    </w:p>
    <w:p w14:paraId="51E315C5">
      <w:pPr>
        <w:pStyle w:val="47"/>
        <w:spacing w:before="312" w:after="312"/>
        <w:rPr>
          <w:rFonts w:hint="eastAsia"/>
          <w:lang w:val="en-US" w:eastAsia="zh-CN"/>
        </w:rPr>
      </w:pPr>
      <w:bookmarkStart w:id="171" w:name="_Toc29182"/>
      <w:r>
        <w:rPr>
          <w:rFonts w:hint="eastAsia"/>
          <w:lang w:val="en-US" w:eastAsia="zh-CN"/>
        </w:rPr>
        <w:t>分层沉降横道图</w:t>
      </w:r>
      <w:bookmarkEnd w:id="171"/>
    </w:p>
    <w:p w14:paraId="0981B77E">
      <w:pPr>
        <w:keepNext w:val="0"/>
        <w:keepLines w:val="0"/>
        <w:pageBreakBefore w:val="0"/>
        <w:widowControl w:val="0"/>
        <w:kinsoku/>
        <w:wordWrap/>
        <w:overflowPunct/>
        <w:topLinePunct w:val="0"/>
        <w:autoSpaceDE/>
        <w:autoSpaceDN/>
        <w:bidi w:val="0"/>
        <w:adjustRightInd w:val="0"/>
        <w:snapToGrid w:val="0"/>
        <w:spacing w:after="0" w:line="240" w:lineRule="auto"/>
        <w:ind w:firstLine="420" w:firstLineChars="200"/>
        <w:jc w:val="center"/>
        <w:textAlignment w:val="auto"/>
        <w:outlineLvl w:val="9"/>
        <w:rPr>
          <w:rFonts w:hint="eastAsia" w:ascii="宋体" w:hAnsi="宋体" w:eastAsia="宋体" w:cs="宋体"/>
        </w:rPr>
      </w:pPr>
      <w:r>
        <w:rPr>
          <w:rFonts w:hint="eastAsia" w:ascii="宋体" w:hAnsi="宋体" w:eastAsia="宋体" w:cs="宋体"/>
        </w:rPr>
        <w:drawing>
          <wp:inline distT="0" distB="0" distL="114300" distR="114300">
            <wp:extent cx="4968875" cy="6913245"/>
            <wp:effectExtent l="0" t="0" r="3175" b="1905"/>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25"/>
                    <a:stretch>
                      <a:fillRect/>
                    </a:stretch>
                  </pic:blipFill>
                  <pic:spPr>
                    <a:xfrm>
                      <a:off x="0" y="0"/>
                      <a:ext cx="4968875" cy="6913245"/>
                    </a:xfrm>
                    <a:prstGeom prst="rect">
                      <a:avLst/>
                    </a:prstGeom>
                    <a:noFill/>
                    <a:ln>
                      <a:noFill/>
                    </a:ln>
                  </pic:spPr>
                </pic:pic>
              </a:graphicData>
            </a:graphic>
          </wp:inline>
        </w:drawing>
      </w:r>
    </w:p>
    <w:p w14:paraId="5C51C88C">
      <w:pPr>
        <w:pStyle w:val="50"/>
        <w:numPr>
          <w:ilvl w:val="0"/>
          <w:numId w:val="0"/>
        </w:numPr>
        <w:tabs>
          <w:tab w:val="left" w:pos="360"/>
        </w:tabs>
        <w:ind w:left="0" w:leftChars="0" w:firstLine="0" w:firstLineChars="0"/>
        <w:rPr>
          <w:rFonts w:hint="eastAsia" w:hAnsi="Times New Roman" w:cs="Times New Roman"/>
          <w:lang w:val="en-US" w:eastAsia="zh-CN"/>
        </w:rPr>
      </w:pPr>
      <w:r>
        <w:rPr>
          <w:rFonts w:hint="eastAsia" w:hAnsi="Times New Roman" w:cs="Times New Roman"/>
          <w:lang w:val="en-US" w:eastAsia="zh-CN"/>
        </w:rPr>
        <w:t>图A.3　分层沉降横道图</w:t>
      </w:r>
    </w:p>
    <w:p w14:paraId="7589F9CB">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outlineLvl w:val="9"/>
        <w:rPr>
          <w:rFonts w:hint="default" w:ascii="宋体" w:hAnsi="宋体" w:eastAsia="宋体" w:cs="宋体"/>
          <w:lang w:val="en-US" w:eastAsia="zh-CN"/>
        </w:rPr>
      </w:pPr>
      <w:r>
        <w:rPr>
          <w:rFonts w:hint="eastAsia" w:ascii="宋体" w:hAnsi="宋体" w:eastAsia="宋体" w:cs="宋体"/>
        </w:rPr>
        <w:br w:type="page"/>
      </w:r>
    </w:p>
    <w:p w14:paraId="00E08F3E">
      <w:pPr>
        <w:pStyle w:val="47"/>
        <w:spacing w:before="312" w:after="312"/>
        <w:rPr>
          <w:rFonts w:hint="default"/>
          <w:lang w:val="en-US" w:eastAsia="zh-CN"/>
        </w:rPr>
      </w:pPr>
      <w:bookmarkStart w:id="172" w:name="_Toc22664"/>
      <w:r>
        <w:rPr>
          <w:rFonts w:hint="eastAsia"/>
          <w:lang w:val="en-US" w:eastAsia="zh-CN"/>
        </w:rPr>
        <w:t>静力水准系统安装形式优缺点B表</w:t>
      </w:r>
      <w:bookmarkEnd w:id="172"/>
    </w:p>
    <w:p w14:paraId="6C04EAF6">
      <w:pPr>
        <w:pStyle w:val="48"/>
        <w:numPr>
          <w:ilvl w:val="0"/>
          <w:numId w:val="0"/>
        </w:numPr>
        <w:tabs>
          <w:tab w:val="left" w:pos="360"/>
        </w:tabs>
        <w:ind w:left="0" w:leftChars="0" w:firstLine="0" w:firstLineChars="0"/>
        <w:rPr>
          <w:rFonts w:hint="default" w:hAnsi="Times New Roman" w:cs="Times New Roman"/>
          <w:lang w:val="en-US" w:eastAsia="zh-CN"/>
        </w:rPr>
      </w:pPr>
      <w:r>
        <w:rPr>
          <w:rFonts w:hint="default" w:ascii="黑体" w:hAnsi="Times New Roman" w:eastAsia="黑体" w:cs="Times New Roman"/>
          <w:sz w:val="21"/>
          <w:lang w:val="en-US" w:eastAsia="zh-CN" w:bidi="ar-SA"/>
        </w:rPr>
        <w:t>表</w:t>
      </w:r>
      <w:r>
        <w:rPr>
          <w:rFonts w:hint="eastAsia" w:hAnsi="Times New Roman" w:cs="Times New Roman"/>
          <w:sz w:val="21"/>
          <w:lang w:val="en-US" w:eastAsia="zh-CN" w:bidi="ar-SA"/>
        </w:rPr>
        <w:t>A.4</w:t>
      </w:r>
      <w:r>
        <w:rPr>
          <w:rFonts w:hint="default" w:ascii="黑体" w:hAnsi="Times New Roman" w:eastAsia="黑体" w:cs="Times New Roman"/>
          <w:sz w:val="21"/>
          <w:lang w:val="en-US" w:eastAsia="zh-CN" w:bidi="ar-SA"/>
        </w:rPr>
        <w:t>　</w:t>
      </w:r>
      <w:r>
        <w:rPr>
          <w:rFonts w:hint="eastAsia" w:hAnsi="Times New Roman" w:cs="Times New Roman"/>
          <w:lang w:val="en-US" w:eastAsia="zh-CN"/>
        </w:rPr>
        <w:t>静力水准系统安装形式优缺点B表</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537"/>
        <w:gridCol w:w="2219"/>
        <w:gridCol w:w="2219"/>
        <w:gridCol w:w="1587"/>
      </w:tblGrid>
      <w:tr w14:paraId="26798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8" w:type="dxa"/>
            <w:tcBorders>
              <w:top w:val="single" w:color="auto" w:sz="8" w:space="0"/>
              <w:bottom w:val="single" w:color="auto" w:sz="8" w:space="0"/>
            </w:tcBorders>
            <w:noWrap w:val="0"/>
            <w:vAlign w:val="center"/>
          </w:tcPr>
          <w:p w14:paraId="6C173304">
            <w:pPr>
              <w:jc w:val="center"/>
              <w:rPr>
                <w:rFonts w:hint="eastAsia" w:ascii="宋体" w:hAnsi="Times New Roman" w:eastAsia="宋体" w:cs="Times New Roman"/>
                <w:sz w:val="18"/>
              </w:rPr>
            </w:pPr>
            <w:r>
              <w:rPr>
                <w:rFonts w:hint="eastAsia" w:ascii="宋体" w:hAnsi="Times New Roman" w:eastAsia="宋体" w:cs="Times New Roman"/>
                <w:sz w:val="18"/>
                <w:lang w:val="en-US" w:eastAsia="zh-CN"/>
              </w:rPr>
              <w:t>安装形式</w:t>
            </w:r>
          </w:p>
        </w:tc>
        <w:tc>
          <w:tcPr>
            <w:tcW w:w="2537" w:type="dxa"/>
            <w:tcBorders>
              <w:top w:val="single" w:color="auto" w:sz="8" w:space="0"/>
              <w:bottom w:val="single" w:color="auto" w:sz="8" w:space="0"/>
            </w:tcBorders>
            <w:noWrap w:val="0"/>
            <w:vAlign w:val="center"/>
          </w:tcPr>
          <w:p w14:paraId="7484690B">
            <w:pPr>
              <w:jc w:val="center"/>
              <w:rPr>
                <w:rFonts w:hint="eastAsia" w:ascii="宋体" w:hAnsi="Times New Roman" w:eastAsia="宋体" w:cs="Times New Roman"/>
                <w:sz w:val="18"/>
              </w:rPr>
            </w:pPr>
            <w:r>
              <w:rPr>
                <w:rFonts w:hint="eastAsia" w:ascii="宋体" w:hAnsi="Times New Roman" w:eastAsia="宋体" w:cs="Times New Roman"/>
                <w:sz w:val="18"/>
                <w:lang w:val="en-US" w:eastAsia="zh-CN"/>
              </w:rPr>
              <w:t>静力水准系统所处范围</w:t>
            </w:r>
          </w:p>
        </w:tc>
        <w:tc>
          <w:tcPr>
            <w:tcW w:w="2219" w:type="dxa"/>
            <w:tcBorders>
              <w:top w:val="single" w:color="auto" w:sz="8" w:space="0"/>
              <w:bottom w:val="single" w:color="auto" w:sz="8" w:space="0"/>
            </w:tcBorders>
            <w:noWrap w:val="0"/>
            <w:vAlign w:val="center"/>
          </w:tcPr>
          <w:p w14:paraId="354EEBE4">
            <w:pPr>
              <w:jc w:val="center"/>
              <w:rPr>
                <w:rFonts w:hint="eastAsia" w:ascii="宋体" w:hAnsi="Times New Roman" w:eastAsia="宋体" w:cs="Times New Roman"/>
                <w:sz w:val="18"/>
              </w:rPr>
            </w:pPr>
            <w:r>
              <w:rPr>
                <w:rFonts w:hint="eastAsia" w:ascii="宋体" w:hAnsi="Times New Roman" w:eastAsia="宋体" w:cs="Times New Roman"/>
                <w:sz w:val="18"/>
                <w:lang w:val="en-US" w:eastAsia="zh-CN"/>
              </w:rPr>
              <w:t>优点</w:t>
            </w:r>
          </w:p>
        </w:tc>
        <w:tc>
          <w:tcPr>
            <w:tcW w:w="2219" w:type="dxa"/>
            <w:tcBorders>
              <w:top w:val="single" w:color="auto" w:sz="8" w:space="0"/>
              <w:bottom w:val="single" w:color="auto" w:sz="8" w:space="0"/>
            </w:tcBorders>
            <w:noWrap w:val="0"/>
            <w:vAlign w:val="center"/>
          </w:tcPr>
          <w:p w14:paraId="47B2117A">
            <w:pPr>
              <w:jc w:val="center"/>
              <w:rPr>
                <w:rFonts w:hint="eastAsia" w:ascii="宋体" w:hAnsi="Times New Roman" w:eastAsia="宋体" w:cs="Times New Roman"/>
                <w:sz w:val="18"/>
              </w:rPr>
            </w:pPr>
            <w:r>
              <w:rPr>
                <w:rFonts w:hint="eastAsia" w:ascii="宋体" w:hAnsi="Times New Roman" w:eastAsia="宋体" w:cs="Times New Roman"/>
                <w:sz w:val="18"/>
                <w:lang w:val="en-US" w:eastAsia="zh-CN"/>
              </w:rPr>
              <w:t>缺点</w:t>
            </w:r>
          </w:p>
        </w:tc>
        <w:tc>
          <w:tcPr>
            <w:tcW w:w="1587" w:type="dxa"/>
            <w:tcBorders>
              <w:top w:val="single" w:color="auto" w:sz="8" w:space="0"/>
              <w:bottom w:val="single" w:color="auto" w:sz="8" w:space="0"/>
            </w:tcBorders>
            <w:noWrap w:val="0"/>
            <w:vAlign w:val="center"/>
          </w:tcPr>
          <w:p w14:paraId="07259430">
            <w:pPr>
              <w:jc w:val="center"/>
              <w:rPr>
                <w:rFonts w:hint="eastAsia" w:ascii="宋体" w:hAnsi="Times New Roman" w:eastAsia="宋体" w:cs="Times New Roman"/>
                <w:sz w:val="18"/>
              </w:rPr>
            </w:pPr>
            <w:r>
              <w:rPr>
                <w:rFonts w:hint="eastAsia" w:ascii="宋体" w:hAnsi="Times New Roman" w:eastAsia="宋体" w:cs="Times New Roman"/>
                <w:sz w:val="18"/>
                <w:lang w:val="en-US" w:eastAsia="zh-CN"/>
              </w:rPr>
              <w:t>适宜地区</w:t>
            </w:r>
          </w:p>
        </w:tc>
      </w:tr>
      <w:tr w14:paraId="383AD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8" w:type="dxa"/>
            <w:tcBorders>
              <w:top w:val="single" w:color="auto" w:sz="8" w:space="0"/>
            </w:tcBorders>
            <w:noWrap w:val="0"/>
            <w:vAlign w:val="center"/>
          </w:tcPr>
          <w:p w14:paraId="3EFF347D">
            <w:pPr>
              <w:jc w:val="center"/>
              <w:rPr>
                <w:rFonts w:hint="eastAsia" w:ascii="宋体" w:hAnsi="Times New Roman" w:eastAsia="宋体" w:cs="Times New Roman"/>
                <w:sz w:val="18"/>
              </w:rPr>
            </w:pPr>
            <w:r>
              <w:rPr>
                <w:rFonts w:hint="eastAsia" w:ascii="宋体" w:hAnsi="Times New Roman" w:eastAsia="宋体" w:cs="Times New Roman"/>
                <w:sz w:val="18"/>
                <w:lang w:val="en-US" w:eastAsia="zh-CN"/>
              </w:rPr>
              <w:t>标房</w:t>
            </w:r>
          </w:p>
        </w:tc>
        <w:tc>
          <w:tcPr>
            <w:tcW w:w="2537" w:type="dxa"/>
            <w:tcBorders>
              <w:top w:val="single" w:color="auto" w:sz="8" w:space="0"/>
            </w:tcBorders>
            <w:noWrap w:val="0"/>
            <w:vAlign w:val="center"/>
          </w:tcPr>
          <w:p w14:paraId="14AE32C2">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仪器、气管、液管、数据线全部在标房内</w:t>
            </w:r>
          </w:p>
        </w:tc>
        <w:tc>
          <w:tcPr>
            <w:tcW w:w="2219" w:type="dxa"/>
            <w:tcBorders>
              <w:top w:val="single" w:color="auto" w:sz="8" w:space="0"/>
            </w:tcBorders>
            <w:noWrap w:val="0"/>
            <w:vAlign w:val="center"/>
          </w:tcPr>
          <w:p w14:paraId="183A6524">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全面防护，夏季防晒通风，冬季保暖。仪器高差调整无限制</w:t>
            </w:r>
          </w:p>
        </w:tc>
        <w:tc>
          <w:tcPr>
            <w:tcW w:w="2219" w:type="dxa"/>
            <w:tcBorders>
              <w:top w:val="single" w:color="auto" w:sz="8" w:space="0"/>
            </w:tcBorders>
            <w:noWrap w:val="0"/>
            <w:vAlign w:val="center"/>
          </w:tcPr>
          <w:p w14:paraId="1FDA5049">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占地较大，造价高</w:t>
            </w:r>
          </w:p>
        </w:tc>
        <w:tc>
          <w:tcPr>
            <w:tcW w:w="1587" w:type="dxa"/>
            <w:tcBorders>
              <w:top w:val="single" w:color="auto" w:sz="8" w:space="0"/>
            </w:tcBorders>
            <w:noWrap w:val="0"/>
            <w:vAlign w:val="center"/>
          </w:tcPr>
          <w:p w14:paraId="2E89B756">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北方超低温地区</w:t>
            </w:r>
          </w:p>
        </w:tc>
      </w:tr>
      <w:tr w14:paraId="34BF62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8" w:type="dxa"/>
            <w:tcBorders>
              <w:bottom w:val="single" w:color="auto" w:sz="4" w:space="0"/>
            </w:tcBorders>
            <w:noWrap w:val="0"/>
            <w:vAlign w:val="center"/>
          </w:tcPr>
          <w:p w14:paraId="67A5AD61">
            <w:pPr>
              <w:jc w:val="center"/>
              <w:rPr>
                <w:rFonts w:hint="eastAsia" w:ascii="宋体" w:hAnsi="Times New Roman" w:eastAsia="宋体" w:cs="Times New Roman"/>
                <w:sz w:val="18"/>
              </w:rPr>
            </w:pPr>
            <w:r>
              <w:rPr>
                <w:rFonts w:hint="eastAsia" w:ascii="宋体" w:hAnsi="Times New Roman" w:eastAsia="宋体" w:cs="Times New Roman"/>
                <w:sz w:val="18"/>
                <w:lang w:val="en-US" w:eastAsia="zh-CN"/>
              </w:rPr>
              <w:t>保护桶</w:t>
            </w:r>
          </w:p>
        </w:tc>
        <w:tc>
          <w:tcPr>
            <w:tcW w:w="2537" w:type="dxa"/>
            <w:tcBorders>
              <w:bottom w:val="single" w:color="auto" w:sz="4" w:space="0"/>
            </w:tcBorders>
            <w:noWrap w:val="0"/>
            <w:vAlign w:val="center"/>
          </w:tcPr>
          <w:p w14:paraId="5B792C53">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仪器放置于地面保护桶内；气管、液管、数据线管子埋于地下</w:t>
            </w:r>
          </w:p>
        </w:tc>
        <w:tc>
          <w:tcPr>
            <w:tcW w:w="2219" w:type="dxa"/>
            <w:tcBorders>
              <w:bottom w:val="single" w:color="auto" w:sz="4" w:space="0"/>
            </w:tcBorders>
            <w:noWrap w:val="0"/>
            <w:vAlign w:val="center"/>
          </w:tcPr>
          <w:p w14:paraId="35830BC2">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造价低</w:t>
            </w:r>
          </w:p>
        </w:tc>
        <w:tc>
          <w:tcPr>
            <w:tcW w:w="2219" w:type="dxa"/>
            <w:tcBorders>
              <w:bottom w:val="single" w:color="auto" w:sz="4" w:space="0"/>
            </w:tcBorders>
            <w:noWrap w:val="0"/>
            <w:vAlign w:val="center"/>
          </w:tcPr>
          <w:p w14:paraId="0174AE06">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筒内不利于夏季通风、冬季保暖；设备和数据易受温差影响；仪器高差调整受限于筒高度</w:t>
            </w:r>
          </w:p>
        </w:tc>
        <w:tc>
          <w:tcPr>
            <w:tcW w:w="1587" w:type="dxa"/>
            <w:tcBorders>
              <w:bottom w:val="single" w:color="auto" w:sz="4" w:space="0"/>
            </w:tcBorders>
            <w:noWrap w:val="0"/>
            <w:vAlign w:val="center"/>
          </w:tcPr>
          <w:p w14:paraId="23F03A3A">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华北及南部大部分地区</w:t>
            </w:r>
          </w:p>
        </w:tc>
      </w:tr>
      <w:tr w14:paraId="2F139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8" w:type="dxa"/>
            <w:tcBorders>
              <w:top w:val="single" w:color="auto" w:sz="4" w:space="0"/>
              <w:bottom w:val="single" w:color="auto" w:sz="8" w:space="0"/>
            </w:tcBorders>
            <w:noWrap w:val="0"/>
            <w:vAlign w:val="center"/>
          </w:tcPr>
          <w:p w14:paraId="00CFC5E2">
            <w:pPr>
              <w:jc w:val="center"/>
              <w:rPr>
                <w:rFonts w:hint="eastAsia" w:ascii="宋体" w:hAnsi="Times New Roman" w:eastAsia="宋体" w:cs="Times New Roman"/>
                <w:sz w:val="18"/>
              </w:rPr>
            </w:pPr>
            <w:r>
              <w:rPr>
                <w:rFonts w:hint="eastAsia" w:ascii="宋体" w:hAnsi="Times New Roman" w:eastAsia="宋体" w:cs="Times New Roman"/>
                <w:sz w:val="18"/>
                <w:lang w:val="en-US" w:eastAsia="zh-CN"/>
              </w:rPr>
              <w:t>窨井</w:t>
            </w:r>
          </w:p>
        </w:tc>
        <w:tc>
          <w:tcPr>
            <w:tcW w:w="2537" w:type="dxa"/>
            <w:tcBorders>
              <w:top w:val="single" w:color="auto" w:sz="4" w:space="0"/>
              <w:bottom w:val="single" w:color="auto" w:sz="8" w:space="0"/>
            </w:tcBorders>
            <w:noWrap w:val="0"/>
            <w:vAlign w:val="center"/>
          </w:tcPr>
          <w:p w14:paraId="29595E44">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仪器、气管、液管、数据线全部在地下</w:t>
            </w:r>
          </w:p>
        </w:tc>
        <w:tc>
          <w:tcPr>
            <w:tcW w:w="2219" w:type="dxa"/>
            <w:tcBorders>
              <w:top w:val="single" w:color="auto" w:sz="4" w:space="0"/>
              <w:bottom w:val="single" w:color="auto" w:sz="8" w:space="0"/>
            </w:tcBorders>
            <w:noWrap w:val="0"/>
            <w:vAlign w:val="center"/>
          </w:tcPr>
          <w:p w14:paraId="2B67CFF5">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夏季防晒，冬季保暖</w:t>
            </w:r>
          </w:p>
        </w:tc>
        <w:tc>
          <w:tcPr>
            <w:tcW w:w="2219" w:type="dxa"/>
            <w:tcBorders>
              <w:top w:val="single" w:color="auto" w:sz="4" w:space="0"/>
              <w:bottom w:val="single" w:color="auto" w:sz="8" w:space="0"/>
            </w:tcBorders>
            <w:noWrap w:val="0"/>
            <w:vAlign w:val="center"/>
          </w:tcPr>
          <w:p w14:paraId="1DD0CCCD">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易被非常规雨水倒灌淹没；仪器高差调整受限于地下空间高度</w:t>
            </w:r>
          </w:p>
        </w:tc>
        <w:tc>
          <w:tcPr>
            <w:tcW w:w="1587" w:type="dxa"/>
            <w:tcBorders>
              <w:top w:val="single" w:color="auto" w:sz="4" w:space="0"/>
              <w:bottom w:val="single" w:color="auto" w:sz="8" w:space="0"/>
            </w:tcBorders>
            <w:noWrap w:val="0"/>
            <w:vAlign w:val="center"/>
          </w:tcPr>
          <w:p w14:paraId="31AFB9A9">
            <w:pPr>
              <w:jc w:val="both"/>
              <w:rPr>
                <w:rFonts w:hint="eastAsia" w:ascii="宋体" w:hAnsi="Times New Roman" w:eastAsia="宋体" w:cs="Times New Roman"/>
                <w:sz w:val="18"/>
              </w:rPr>
            </w:pPr>
            <w:r>
              <w:rPr>
                <w:rFonts w:hint="eastAsia" w:ascii="宋体" w:hAnsi="Times New Roman" w:eastAsia="宋体" w:cs="Times New Roman"/>
                <w:sz w:val="18"/>
                <w:lang w:val="en-US" w:eastAsia="zh-CN"/>
              </w:rPr>
              <w:t>地表有限制地区</w:t>
            </w:r>
          </w:p>
        </w:tc>
      </w:tr>
    </w:tbl>
    <w:p w14:paraId="24087E19">
      <w:pPr>
        <w:pStyle w:val="47"/>
        <w:spacing w:before="312" w:after="312"/>
        <w:rPr>
          <w:rFonts w:hint="eastAsia"/>
          <w:lang w:val="en-US" w:eastAsia="zh-CN"/>
        </w:rPr>
      </w:pPr>
      <w:bookmarkStart w:id="173" w:name="_Toc7820"/>
      <w:r>
        <w:rPr>
          <w:rFonts w:hint="eastAsia"/>
          <w:lang w:val="en-US" w:eastAsia="zh-CN"/>
        </w:rPr>
        <w:t>静力水准仪类型选择表</w:t>
      </w:r>
      <w:bookmarkEnd w:id="173"/>
    </w:p>
    <w:p w14:paraId="6C9DBD24">
      <w:pPr>
        <w:pStyle w:val="48"/>
        <w:numPr>
          <w:ilvl w:val="0"/>
          <w:numId w:val="0"/>
        </w:numPr>
        <w:tabs>
          <w:tab w:val="left" w:pos="360"/>
        </w:tabs>
        <w:ind w:left="0" w:leftChars="0" w:firstLine="0" w:firstLineChars="0"/>
        <w:rPr>
          <w:rFonts w:hint="eastAsia"/>
          <w:lang w:val="en-US" w:eastAsia="zh-CN"/>
        </w:rPr>
      </w:pPr>
      <w:r>
        <w:rPr>
          <w:rFonts w:hint="default" w:ascii="黑体" w:hAnsi="Times New Roman" w:eastAsia="黑体" w:cs="Times New Roman"/>
          <w:sz w:val="21"/>
          <w:lang w:val="en-US" w:eastAsia="zh-CN" w:bidi="ar-SA"/>
        </w:rPr>
        <w:t>表</w:t>
      </w:r>
      <w:r>
        <w:rPr>
          <w:rFonts w:hint="eastAsia" w:hAnsi="Times New Roman" w:cs="Times New Roman"/>
          <w:sz w:val="21"/>
          <w:lang w:val="en-US" w:eastAsia="zh-CN" w:bidi="ar-SA"/>
        </w:rPr>
        <w:t>A.5</w:t>
      </w:r>
      <w:r>
        <w:rPr>
          <w:rFonts w:hint="default" w:ascii="黑体" w:hAnsi="Times New Roman" w:eastAsia="黑体" w:cs="Times New Roman"/>
          <w:sz w:val="21"/>
          <w:lang w:val="en-US" w:eastAsia="zh-CN" w:bidi="ar-SA"/>
        </w:rPr>
        <w:t>　静力水准仪类型选择表</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1013"/>
        <w:gridCol w:w="1031"/>
        <w:gridCol w:w="2588"/>
        <w:gridCol w:w="3762"/>
      </w:tblGrid>
      <w:tr w14:paraId="45E4A3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jc w:val="center"/>
        </w:trPr>
        <w:tc>
          <w:tcPr>
            <w:tcW w:w="1176" w:type="dxa"/>
            <w:tcBorders>
              <w:top w:val="single" w:color="auto" w:sz="8" w:space="0"/>
              <w:bottom w:val="single" w:color="auto" w:sz="8" w:space="0"/>
            </w:tcBorders>
            <w:noWrap w:val="0"/>
            <w:vAlign w:val="center"/>
          </w:tcPr>
          <w:p w14:paraId="6CF9151A">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原理</w:t>
            </w:r>
          </w:p>
        </w:tc>
        <w:tc>
          <w:tcPr>
            <w:tcW w:w="1013" w:type="dxa"/>
            <w:tcBorders>
              <w:top w:val="single" w:color="auto" w:sz="8" w:space="0"/>
              <w:bottom w:val="single" w:color="auto" w:sz="8" w:space="0"/>
            </w:tcBorders>
            <w:noWrap w:val="0"/>
            <w:vAlign w:val="center"/>
          </w:tcPr>
          <w:p w14:paraId="6CB834D9">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量程（mm）</w:t>
            </w:r>
          </w:p>
        </w:tc>
        <w:tc>
          <w:tcPr>
            <w:tcW w:w="1031" w:type="dxa"/>
            <w:tcBorders>
              <w:top w:val="single" w:color="auto" w:sz="8" w:space="0"/>
              <w:bottom w:val="single" w:color="auto" w:sz="8" w:space="0"/>
            </w:tcBorders>
            <w:noWrap w:val="0"/>
            <w:vAlign w:val="center"/>
          </w:tcPr>
          <w:p w14:paraId="79253506">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精度（mm）</w:t>
            </w:r>
          </w:p>
        </w:tc>
        <w:tc>
          <w:tcPr>
            <w:tcW w:w="2588" w:type="dxa"/>
            <w:tcBorders>
              <w:top w:val="single" w:color="auto" w:sz="8" w:space="0"/>
              <w:bottom w:val="single" w:color="auto" w:sz="8" w:space="0"/>
            </w:tcBorders>
            <w:noWrap w:val="0"/>
            <w:vAlign w:val="center"/>
          </w:tcPr>
          <w:p w14:paraId="2CA55AD7">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温度特性及稳定性</w:t>
            </w:r>
          </w:p>
        </w:tc>
        <w:tc>
          <w:tcPr>
            <w:tcW w:w="3762" w:type="dxa"/>
            <w:tcBorders>
              <w:top w:val="single" w:color="auto" w:sz="8" w:space="0"/>
              <w:bottom w:val="single" w:color="auto" w:sz="8" w:space="0"/>
            </w:tcBorders>
            <w:noWrap w:val="0"/>
            <w:vAlign w:val="center"/>
          </w:tcPr>
          <w:p w14:paraId="78EB111E">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适用场景</w:t>
            </w:r>
          </w:p>
        </w:tc>
      </w:tr>
      <w:tr w14:paraId="7D4D2F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76" w:type="dxa"/>
            <w:tcBorders>
              <w:top w:val="single" w:color="auto" w:sz="8" w:space="0"/>
            </w:tcBorders>
            <w:noWrap w:val="0"/>
            <w:vAlign w:val="center"/>
          </w:tcPr>
          <w:p w14:paraId="35AE40DA">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光电式</w:t>
            </w:r>
          </w:p>
        </w:tc>
        <w:tc>
          <w:tcPr>
            <w:tcW w:w="1013" w:type="dxa"/>
            <w:tcBorders>
              <w:top w:val="single" w:color="auto" w:sz="8" w:space="0"/>
            </w:tcBorders>
            <w:noWrap w:val="0"/>
            <w:vAlign w:val="center"/>
          </w:tcPr>
          <w:p w14:paraId="7CF87401">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150-250</w:t>
            </w:r>
          </w:p>
        </w:tc>
        <w:tc>
          <w:tcPr>
            <w:tcW w:w="1031" w:type="dxa"/>
            <w:tcBorders>
              <w:top w:val="single" w:color="auto" w:sz="8" w:space="0"/>
            </w:tcBorders>
            <w:noWrap w:val="0"/>
            <w:vAlign w:val="center"/>
          </w:tcPr>
          <w:p w14:paraId="4A81A1BC">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0.01</w:t>
            </w:r>
          </w:p>
        </w:tc>
        <w:tc>
          <w:tcPr>
            <w:tcW w:w="2588" w:type="dxa"/>
            <w:tcBorders>
              <w:top w:val="single" w:color="auto" w:sz="8" w:space="0"/>
            </w:tcBorders>
            <w:noWrap w:val="0"/>
            <w:vAlign w:val="center"/>
          </w:tcPr>
          <w:p w14:paraId="440ED3C2">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0.01%F.S.，仪器一致性最佳</w:t>
            </w:r>
          </w:p>
        </w:tc>
        <w:tc>
          <w:tcPr>
            <w:tcW w:w="3762" w:type="dxa"/>
            <w:tcBorders>
              <w:top w:val="single" w:color="auto" w:sz="8" w:space="0"/>
            </w:tcBorders>
            <w:noWrap w:val="0"/>
            <w:vAlign w:val="center"/>
          </w:tcPr>
          <w:p w14:paraId="59FBB11F">
            <w:pPr>
              <w:jc w:val="left"/>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对精度和数据可靠性要求极高的国家级或省级地面沉降、活动断裂监测站；极高稳定性的基准点监测；地震监测；各种构筑物沉降监测</w:t>
            </w:r>
          </w:p>
        </w:tc>
      </w:tr>
      <w:tr w14:paraId="42964E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76" w:type="dxa"/>
            <w:tcBorders>
              <w:bottom w:val="single" w:color="auto" w:sz="4" w:space="0"/>
            </w:tcBorders>
            <w:noWrap w:val="0"/>
            <w:vAlign w:val="center"/>
          </w:tcPr>
          <w:p w14:paraId="161068FB">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磁致伸缩式</w:t>
            </w:r>
          </w:p>
        </w:tc>
        <w:tc>
          <w:tcPr>
            <w:tcW w:w="1013" w:type="dxa"/>
            <w:tcBorders>
              <w:bottom w:val="single" w:color="auto" w:sz="4" w:space="0"/>
            </w:tcBorders>
            <w:noWrap w:val="0"/>
            <w:vAlign w:val="center"/>
          </w:tcPr>
          <w:p w14:paraId="234260D8">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150-400</w:t>
            </w:r>
          </w:p>
        </w:tc>
        <w:tc>
          <w:tcPr>
            <w:tcW w:w="1031" w:type="dxa"/>
            <w:tcBorders>
              <w:bottom w:val="single" w:color="auto" w:sz="4" w:space="0"/>
            </w:tcBorders>
            <w:noWrap w:val="0"/>
            <w:vAlign w:val="center"/>
          </w:tcPr>
          <w:p w14:paraId="0AA78DBD">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0.01</w:t>
            </w:r>
          </w:p>
        </w:tc>
        <w:tc>
          <w:tcPr>
            <w:tcW w:w="2588" w:type="dxa"/>
            <w:tcBorders>
              <w:bottom w:val="single" w:color="auto" w:sz="4" w:space="0"/>
            </w:tcBorders>
            <w:noWrap w:val="0"/>
            <w:vAlign w:val="center"/>
          </w:tcPr>
          <w:p w14:paraId="1CC86D6B">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0.02%F.S.，仪器一致性佳</w:t>
            </w:r>
          </w:p>
        </w:tc>
        <w:tc>
          <w:tcPr>
            <w:tcW w:w="3762" w:type="dxa"/>
            <w:tcBorders>
              <w:bottom w:val="single" w:color="auto" w:sz="4" w:space="0"/>
            </w:tcBorders>
            <w:noWrap w:val="0"/>
            <w:vAlign w:val="center"/>
          </w:tcPr>
          <w:p w14:paraId="28801C02">
            <w:pPr>
              <w:jc w:val="left"/>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设计精度较高的省级地面沉降、活动断裂监测站；各种构筑物沉降监测</w:t>
            </w:r>
          </w:p>
        </w:tc>
      </w:tr>
      <w:tr w14:paraId="2B95D5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76" w:type="dxa"/>
            <w:tcBorders>
              <w:top w:val="single" w:color="auto" w:sz="4" w:space="0"/>
              <w:bottom w:val="single" w:color="auto" w:sz="8" w:space="0"/>
            </w:tcBorders>
            <w:noWrap w:val="0"/>
            <w:vAlign w:val="center"/>
          </w:tcPr>
          <w:p w14:paraId="50178ED0">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压差式</w:t>
            </w:r>
          </w:p>
        </w:tc>
        <w:tc>
          <w:tcPr>
            <w:tcW w:w="1013" w:type="dxa"/>
            <w:tcBorders>
              <w:top w:val="single" w:color="auto" w:sz="4" w:space="0"/>
              <w:bottom w:val="single" w:color="auto" w:sz="8" w:space="0"/>
            </w:tcBorders>
            <w:noWrap w:val="0"/>
            <w:vAlign w:val="center"/>
          </w:tcPr>
          <w:p w14:paraId="0A795713">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1000以内</w:t>
            </w:r>
          </w:p>
        </w:tc>
        <w:tc>
          <w:tcPr>
            <w:tcW w:w="1031" w:type="dxa"/>
            <w:tcBorders>
              <w:top w:val="single" w:color="auto" w:sz="4" w:space="0"/>
              <w:bottom w:val="single" w:color="auto" w:sz="8" w:space="0"/>
            </w:tcBorders>
            <w:noWrap w:val="0"/>
            <w:vAlign w:val="center"/>
          </w:tcPr>
          <w:p w14:paraId="3BC29392">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0.1</w:t>
            </w:r>
          </w:p>
        </w:tc>
        <w:tc>
          <w:tcPr>
            <w:tcW w:w="2588" w:type="dxa"/>
            <w:tcBorders>
              <w:top w:val="single" w:color="auto" w:sz="4" w:space="0"/>
              <w:bottom w:val="single" w:color="auto" w:sz="8" w:space="0"/>
            </w:tcBorders>
            <w:noWrap w:val="0"/>
            <w:vAlign w:val="center"/>
          </w:tcPr>
          <w:p w14:paraId="0647339F">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0.1%F.S.，仪器一致性较差</w:t>
            </w:r>
          </w:p>
        </w:tc>
        <w:tc>
          <w:tcPr>
            <w:tcW w:w="3762" w:type="dxa"/>
            <w:tcBorders>
              <w:top w:val="single" w:color="auto" w:sz="4" w:space="0"/>
              <w:bottom w:val="single" w:color="auto" w:sz="8" w:space="0"/>
            </w:tcBorders>
            <w:noWrap w:val="0"/>
            <w:vAlign w:val="center"/>
          </w:tcPr>
          <w:p w14:paraId="5DFF878E">
            <w:pPr>
              <w:jc w:val="left"/>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广泛应用于城市地面沉降、地铁隧道、深基坑、高速公路路基、大型储罐等沉降量较大、监测点分布广、环境复杂的自动化监测项目</w:t>
            </w:r>
          </w:p>
        </w:tc>
      </w:tr>
    </w:tbl>
    <w:p w14:paraId="38715DBB">
      <w:pPr>
        <w:pStyle w:val="30"/>
        <w:rPr>
          <w:rFonts w:hint="eastAsia"/>
          <w:lang w:val="en-US" w:eastAsia="zh-CN"/>
        </w:rPr>
      </w:pPr>
    </w:p>
    <w:p w14:paraId="73CBC3DD">
      <w:pPr>
        <w:rPr>
          <w:rFonts w:hint="eastAsia"/>
          <w:lang w:val="en-US" w:eastAsia="zh-CN"/>
        </w:rPr>
      </w:pPr>
      <w:r>
        <w:rPr>
          <w:rFonts w:hint="eastAsia"/>
        </w:rPr>
        <w:br w:type="page"/>
      </w:r>
    </w:p>
    <w:p w14:paraId="48F486BE">
      <w:pPr>
        <w:pStyle w:val="47"/>
        <w:spacing w:before="312" w:after="312"/>
        <w:rPr>
          <w:rFonts w:hint="eastAsia"/>
          <w:lang w:val="en-US" w:eastAsia="zh-CN"/>
        </w:rPr>
      </w:pPr>
      <w:bookmarkStart w:id="174" w:name="_Toc30536"/>
      <w:r>
        <w:rPr>
          <w:rFonts w:hint="eastAsia"/>
          <w:lang w:val="en-US" w:eastAsia="zh-CN"/>
        </w:rPr>
        <w:t>常用静力水准仪液体性能参数表</w:t>
      </w:r>
      <w:bookmarkEnd w:id="174"/>
    </w:p>
    <w:p w14:paraId="06505E0B">
      <w:pPr>
        <w:pStyle w:val="48"/>
        <w:numPr>
          <w:ilvl w:val="0"/>
          <w:numId w:val="0"/>
        </w:numPr>
        <w:tabs>
          <w:tab w:val="left" w:pos="360"/>
        </w:tabs>
        <w:ind w:left="0" w:leftChars="0" w:firstLine="0" w:firstLineChars="0"/>
        <w:rPr>
          <w:rFonts w:hint="eastAsia"/>
          <w:lang w:val="en-US" w:eastAsia="zh-CN"/>
        </w:rPr>
      </w:pPr>
      <w:r>
        <w:rPr>
          <w:rFonts w:hint="eastAsia" w:ascii="黑体" w:hAnsi="Times New Roman" w:eastAsia="黑体" w:cs="Times New Roman"/>
          <w:sz w:val="21"/>
          <w:lang w:val="en-US" w:eastAsia="zh-CN" w:bidi="ar-SA"/>
        </w:rPr>
        <w:t>表A.6　常用静力水准仪液体性能参数表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8"/>
        <w:gridCol w:w="3781"/>
        <w:gridCol w:w="4114"/>
      </w:tblGrid>
      <w:tr w14:paraId="08E0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618" w:type="dxa"/>
            <w:vAlign w:val="center"/>
          </w:tcPr>
          <w:p w14:paraId="429A3448">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指标</w:t>
            </w:r>
          </w:p>
        </w:tc>
        <w:tc>
          <w:tcPr>
            <w:tcW w:w="3781" w:type="dxa"/>
            <w:vAlign w:val="center"/>
          </w:tcPr>
          <w:p w14:paraId="38D7DA05">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惰性硅油</w:t>
            </w:r>
          </w:p>
        </w:tc>
        <w:tc>
          <w:tcPr>
            <w:tcW w:w="4114" w:type="dxa"/>
            <w:vAlign w:val="center"/>
          </w:tcPr>
          <w:p w14:paraId="7BD24DB2">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乙二醇水溶液（30%）</w:t>
            </w:r>
          </w:p>
        </w:tc>
      </w:tr>
      <w:tr w14:paraId="3209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8" w:type="dxa"/>
            <w:vAlign w:val="center"/>
          </w:tcPr>
          <w:p w14:paraId="54B985B8">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热膨胀系数</w:t>
            </w:r>
          </w:p>
        </w:tc>
        <w:tc>
          <w:tcPr>
            <w:tcW w:w="3781" w:type="dxa"/>
            <w:vAlign w:val="center"/>
          </w:tcPr>
          <w:p w14:paraId="14CC7C21">
            <w:pPr>
              <w:jc w:val="center"/>
              <w:rPr>
                <w:rFonts w:hint="eastAsia" w:ascii="宋体" w:hAnsi="Times New Roman" w:eastAsia="宋体" w:cs="Times New Roman"/>
                <w:sz w:val="18"/>
                <w:lang w:val="en-US" w:eastAsia="zh-CN"/>
              </w:rPr>
            </w:pPr>
            <w:r>
              <w:rPr>
                <w:rFonts w:hint="default" w:ascii="宋体" w:hAnsi="Times New Roman" w:eastAsia="宋体" w:cs="Times New Roman"/>
                <w:sz w:val="18"/>
                <w:lang w:val="en-US" w:eastAsia="zh-CN"/>
              </w:rPr>
              <w:t>0.0004–0.0006 /℃</w:t>
            </w:r>
          </w:p>
        </w:tc>
        <w:tc>
          <w:tcPr>
            <w:tcW w:w="4114" w:type="dxa"/>
            <w:vAlign w:val="center"/>
          </w:tcPr>
          <w:p w14:paraId="2567B0A3">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0.0003–0.0004 /℃</w:t>
            </w:r>
          </w:p>
        </w:tc>
      </w:tr>
      <w:tr w14:paraId="4153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8" w:type="dxa"/>
            <w:vAlign w:val="center"/>
          </w:tcPr>
          <w:p w14:paraId="132BBAA7">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常用粘度</w:t>
            </w:r>
          </w:p>
        </w:tc>
        <w:tc>
          <w:tcPr>
            <w:tcW w:w="3781" w:type="dxa"/>
            <w:vAlign w:val="center"/>
          </w:tcPr>
          <w:p w14:paraId="620E0727">
            <w:pPr>
              <w:jc w:val="center"/>
              <w:rPr>
                <w:rFonts w:hint="default" w:ascii="宋体" w:hAnsi="Times New Roman" w:eastAsia="宋体" w:cs="Times New Roman"/>
                <w:sz w:val="18"/>
                <w:lang w:val="en-US" w:eastAsia="zh-CN"/>
              </w:rPr>
            </w:pPr>
            <w:r>
              <w:rPr>
                <w:rFonts w:hint="eastAsia" w:ascii="宋体" w:hAnsi="Times New Roman" w:eastAsia="宋体" w:cs="Times New Roman"/>
                <w:sz w:val="18"/>
                <w:lang w:val="en-US" w:eastAsia="zh-CN"/>
              </w:rPr>
              <w:t>常用粘度50 cSt；</w:t>
            </w:r>
            <w:r>
              <w:rPr>
                <w:rFonts w:hint="default" w:ascii="宋体" w:hAnsi="Times New Roman" w:eastAsia="宋体" w:cs="Times New Roman"/>
                <w:sz w:val="18"/>
                <w:lang w:val="en-US" w:eastAsia="zh-CN"/>
              </w:rPr>
              <w:t>-40℃至+85℃范围内粘度变化率&lt;5%，响应一致性优异</w:t>
            </w:r>
          </w:p>
        </w:tc>
        <w:tc>
          <w:tcPr>
            <w:tcW w:w="4114" w:type="dxa"/>
            <w:vAlign w:val="center"/>
          </w:tcPr>
          <w:p w14:paraId="2D07B012">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温度降低粘度增大；40℃粘度38–50 cSt，冰点大约</w:t>
            </w:r>
            <w:r>
              <w:rPr>
                <w:rFonts w:hint="default" w:ascii="宋体" w:hAnsi="Times New Roman" w:eastAsia="宋体" w:cs="Times New Roman"/>
                <w:sz w:val="18"/>
                <w:lang w:val="en-US" w:eastAsia="zh-CN"/>
              </w:rPr>
              <w:t>-25℃</w:t>
            </w:r>
          </w:p>
        </w:tc>
      </w:tr>
      <w:tr w14:paraId="1303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8" w:type="dxa"/>
            <w:shd w:val="clear" w:color="auto" w:fill="auto"/>
            <w:vAlign w:val="center"/>
          </w:tcPr>
          <w:p w14:paraId="695E4506">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长期稳定性</w:t>
            </w:r>
          </w:p>
        </w:tc>
        <w:tc>
          <w:tcPr>
            <w:tcW w:w="3781" w:type="dxa"/>
            <w:shd w:val="clear" w:color="auto" w:fill="auto"/>
            <w:vAlign w:val="center"/>
          </w:tcPr>
          <w:p w14:paraId="45D93430">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＞10年（无降解）</w:t>
            </w:r>
          </w:p>
        </w:tc>
        <w:tc>
          <w:tcPr>
            <w:tcW w:w="4114" w:type="dxa"/>
            <w:shd w:val="clear" w:color="auto" w:fill="auto"/>
            <w:vAlign w:val="center"/>
          </w:tcPr>
          <w:p w14:paraId="32C0F794">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3–5年（需更换）</w:t>
            </w:r>
          </w:p>
        </w:tc>
      </w:tr>
      <w:tr w14:paraId="0106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8" w:type="dxa"/>
            <w:shd w:val="clear" w:color="auto" w:fill="auto"/>
            <w:vAlign w:val="center"/>
          </w:tcPr>
          <w:p w14:paraId="47830347">
            <w:pPr>
              <w:jc w:val="center"/>
              <w:rPr>
                <w:rFonts w:hint="eastAsia" w:ascii="宋体" w:hAnsi="Times New Roman" w:eastAsia="宋体" w:cs="Times New Roman"/>
                <w:sz w:val="18"/>
                <w:lang w:val="en-US" w:eastAsia="zh-CN"/>
              </w:rPr>
            </w:pPr>
            <w:r>
              <w:rPr>
                <w:rFonts w:hint="default" w:ascii="宋体" w:hAnsi="Times New Roman" w:eastAsia="宋体" w:cs="Times New Roman"/>
                <w:sz w:val="18"/>
                <w:lang w:val="en-US" w:eastAsia="zh-CN"/>
              </w:rPr>
              <w:t>抗腐蚀性</w:t>
            </w:r>
          </w:p>
        </w:tc>
        <w:tc>
          <w:tcPr>
            <w:tcW w:w="3781" w:type="dxa"/>
            <w:shd w:val="clear" w:color="auto" w:fill="auto"/>
            <w:vAlign w:val="center"/>
          </w:tcPr>
          <w:p w14:paraId="5B2080BC">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完全惰性，无腐蚀</w:t>
            </w:r>
          </w:p>
        </w:tc>
        <w:tc>
          <w:tcPr>
            <w:tcW w:w="4114" w:type="dxa"/>
            <w:shd w:val="clear" w:color="auto" w:fill="auto"/>
            <w:vAlign w:val="center"/>
          </w:tcPr>
          <w:p w14:paraId="27D3096F">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需添加缓蚀剂，仍存在微量腐蚀风险</w:t>
            </w:r>
          </w:p>
        </w:tc>
      </w:tr>
      <w:tr w14:paraId="5DB0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8" w:type="dxa"/>
            <w:shd w:val="clear" w:color="auto" w:fill="auto"/>
            <w:vAlign w:val="center"/>
          </w:tcPr>
          <w:p w14:paraId="01F55166">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电磁兼容性</w:t>
            </w:r>
          </w:p>
        </w:tc>
        <w:tc>
          <w:tcPr>
            <w:tcW w:w="3781" w:type="dxa"/>
            <w:shd w:val="clear" w:color="auto" w:fill="auto"/>
            <w:vAlign w:val="center"/>
          </w:tcPr>
          <w:p w14:paraId="6A0107EF">
            <w:pPr>
              <w:jc w:val="center"/>
              <w:rPr>
                <w:rFonts w:hint="eastAsia" w:ascii="宋体" w:hAnsi="Times New Roman" w:eastAsia="宋体" w:cs="Times New Roman"/>
                <w:sz w:val="18"/>
                <w:lang w:val="en-US" w:eastAsia="zh-CN"/>
              </w:rPr>
            </w:pPr>
            <w:r>
              <w:rPr>
                <w:rFonts w:hint="default" w:ascii="宋体" w:hAnsi="Times New Roman" w:eastAsia="宋体" w:cs="Times New Roman"/>
                <w:sz w:val="18"/>
                <w:lang w:val="en-US" w:eastAsia="zh-CN"/>
              </w:rPr>
              <w:t>极佳（绝缘）</w:t>
            </w:r>
          </w:p>
        </w:tc>
        <w:tc>
          <w:tcPr>
            <w:tcW w:w="4114" w:type="dxa"/>
            <w:shd w:val="clear" w:color="auto" w:fill="auto"/>
            <w:vAlign w:val="center"/>
          </w:tcPr>
          <w:p w14:paraId="65357C36">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一般（含离子）</w:t>
            </w:r>
          </w:p>
        </w:tc>
      </w:tr>
      <w:tr w14:paraId="0876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8" w:type="dxa"/>
            <w:shd w:val="clear" w:color="auto" w:fill="auto"/>
            <w:vAlign w:val="center"/>
          </w:tcPr>
          <w:p w14:paraId="66B4E3F1">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‌维护频率‌</w:t>
            </w:r>
          </w:p>
        </w:tc>
        <w:tc>
          <w:tcPr>
            <w:tcW w:w="3781" w:type="dxa"/>
            <w:shd w:val="clear" w:color="auto" w:fill="auto"/>
            <w:vAlign w:val="center"/>
          </w:tcPr>
          <w:p w14:paraId="4A2755B9">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每5–10年检测一次</w:t>
            </w:r>
          </w:p>
        </w:tc>
        <w:tc>
          <w:tcPr>
            <w:tcW w:w="4114" w:type="dxa"/>
            <w:shd w:val="clear" w:color="auto" w:fill="auto"/>
            <w:vAlign w:val="center"/>
          </w:tcPr>
          <w:p w14:paraId="1761AB7C">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每6–12个月检测冰点与pH</w:t>
            </w:r>
          </w:p>
        </w:tc>
      </w:tr>
      <w:tr w14:paraId="4E3E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18" w:type="dxa"/>
            <w:shd w:val="clear" w:color="auto" w:fill="auto"/>
            <w:vAlign w:val="center"/>
          </w:tcPr>
          <w:p w14:paraId="1C8094B8">
            <w:pPr>
              <w:jc w:val="center"/>
              <w:rPr>
                <w:rFonts w:hint="eastAsia" w:ascii="宋体" w:hAnsi="Times New Roman" w:eastAsia="宋体" w:cs="Times New Roman"/>
                <w:sz w:val="18"/>
                <w:lang w:val="en-US" w:eastAsia="zh-CN"/>
              </w:rPr>
            </w:pPr>
            <w:r>
              <w:rPr>
                <w:rFonts w:hint="default" w:ascii="宋体" w:hAnsi="Times New Roman" w:eastAsia="宋体" w:cs="Times New Roman"/>
                <w:sz w:val="18"/>
                <w:lang w:val="en-US" w:eastAsia="zh-CN"/>
              </w:rPr>
              <w:t>适用精度</w:t>
            </w:r>
          </w:p>
        </w:tc>
        <w:tc>
          <w:tcPr>
            <w:tcW w:w="3781" w:type="dxa"/>
            <w:shd w:val="clear" w:color="auto" w:fill="auto"/>
            <w:vAlign w:val="center"/>
          </w:tcPr>
          <w:p w14:paraId="79771091">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≤0.05 mm</w:t>
            </w:r>
          </w:p>
        </w:tc>
        <w:tc>
          <w:tcPr>
            <w:tcW w:w="4114" w:type="dxa"/>
            <w:shd w:val="clear" w:color="auto" w:fill="auto"/>
            <w:vAlign w:val="center"/>
          </w:tcPr>
          <w:p w14:paraId="6577B934">
            <w:pPr>
              <w:jc w:val="center"/>
              <w:rPr>
                <w:rFonts w:hint="eastAsia" w:ascii="宋体" w:hAnsi="Times New Roman" w:eastAsia="宋体" w:cs="Times New Roman"/>
                <w:sz w:val="18"/>
                <w:lang w:val="en-US" w:eastAsia="zh-CN"/>
              </w:rPr>
            </w:pPr>
            <w:r>
              <w:rPr>
                <w:rFonts w:hint="eastAsia" w:ascii="宋体" w:hAnsi="Times New Roman" w:eastAsia="宋体" w:cs="Times New Roman"/>
                <w:sz w:val="18"/>
                <w:lang w:val="en-US" w:eastAsia="zh-CN"/>
              </w:rPr>
              <w:t>≥0.1 mm</w:t>
            </w:r>
          </w:p>
        </w:tc>
      </w:tr>
    </w:tbl>
    <w:p w14:paraId="6AD6A7A1">
      <w:pPr>
        <w:rPr>
          <w:rFonts w:hint="eastAsia"/>
          <w:lang w:val="en-US" w:eastAsia="zh-CN"/>
        </w:rPr>
      </w:pPr>
      <w:r>
        <w:rPr>
          <w:rFonts w:hint="eastAsia"/>
          <w:lang w:val="en-US" w:eastAsia="zh-CN"/>
        </w:rPr>
        <w:br w:type="page"/>
      </w:r>
    </w:p>
    <w:p w14:paraId="29F7A197">
      <w:pPr>
        <w:pStyle w:val="47"/>
        <w:spacing w:before="312" w:after="312"/>
        <w:rPr>
          <w:rFonts w:hint="eastAsia"/>
          <w:lang w:val="en-US" w:eastAsia="zh-CN"/>
        </w:rPr>
      </w:pPr>
      <w:bookmarkStart w:id="175" w:name="_Toc26026"/>
      <w:r>
        <w:rPr>
          <w:rFonts w:hint="eastAsia"/>
        </w:rPr>
        <w:t>静力水准仪</w:t>
      </w:r>
      <w:r>
        <w:rPr>
          <w:rFonts w:hint="eastAsia"/>
          <w:lang w:val="en-US" w:eastAsia="zh-CN"/>
        </w:rPr>
        <w:t>试验方法示意图</w:t>
      </w:r>
      <w:bookmarkEnd w:id="175"/>
    </w:p>
    <w:p w14:paraId="285BC314">
      <w:pPr>
        <w:pStyle w:val="30"/>
        <w:rPr>
          <w:rFonts w:hint="eastAsia"/>
          <w:lang w:val="en-US" w:eastAsia="zh-CN"/>
        </w:rPr>
      </w:pPr>
      <w:r>
        <w:rPr>
          <w:rFonts w:hint="eastAsia"/>
          <w:lang w:val="en-US" w:eastAsia="zh-CN"/>
        </w:rPr>
        <w:t>一、测试说明</w:t>
      </w:r>
    </w:p>
    <w:p w14:paraId="6752B5F3">
      <w:pPr>
        <w:pStyle w:val="30"/>
        <w:rPr>
          <w:rFonts w:hint="eastAsia"/>
          <w:lang w:val="en-US" w:eastAsia="zh-CN"/>
        </w:rPr>
      </w:pPr>
      <w:r>
        <w:rPr>
          <w:rFonts w:hint="eastAsia"/>
          <w:lang w:val="en-US" w:eastAsia="zh-CN"/>
        </w:rPr>
        <w:t>1.系统安装：按本规范要求连接设备，检查油路、电路无误。</w:t>
      </w:r>
    </w:p>
    <w:p w14:paraId="2CADB2B6">
      <w:pPr>
        <w:pStyle w:val="30"/>
        <w:rPr>
          <w:rFonts w:hint="eastAsia"/>
          <w:lang w:val="en-US" w:eastAsia="zh-CN"/>
        </w:rPr>
      </w:pPr>
      <w:r>
        <w:rPr>
          <w:rFonts w:hint="eastAsia"/>
          <w:lang w:val="en-US" w:eastAsia="zh-CN"/>
        </w:rPr>
        <w:t>2.升降台要求：量程150-250mm；精度0.01mm；分辨率0.01%F.S；重复性</w:t>
      </w:r>
      <w:r>
        <w:rPr>
          <w:rFonts w:hint="eastAsia"/>
        </w:rPr>
        <w:t>≤0.01mm</w:t>
      </w:r>
      <w:r>
        <w:rPr>
          <w:rFonts w:hint="eastAsia"/>
          <w:lang w:eastAsia="zh-CN"/>
        </w:rPr>
        <w:t>。</w:t>
      </w:r>
    </w:p>
    <w:p w14:paraId="6D320CC6">
      <w:pPr>
        <w:pStyle w:val="30"/>
        <w:rPr>
          <w:rFonts w:hint="eastAsia"/>
        </w:rPr>
      </w:pPr>
      <w:r>
        <w:rPr>
          <w:rFonts w:hint="eastAsia"/>
          <w:lang w:eastAsia="zh-CN"/>
        </w:rPr>
        <w:t>3.</w:t>
      </w:r>
      <w:r>
        <w:rPr>
          <w:rFonts w:hint="eastAsia"/>
        </w:rPr>
        <w:t>试验装置由基岩标试验台、分层标试验台组成。</w:t>
      </w:r>
    </w:p>
    <w:p w14:paraId="7460326C">
      <w:pPr>
        <w:pStyle w:val="30"/>
        <w:rPr>
          <w:rFonts w:hint="eastAsia"/>
          <w:lang w:val="en-US" w:eastAsia="zh-CN"/>
        </w:rPr>
      </w:pPr>
      <w:r>
        <w:rPr>
          <w:rFonts w:hint="eastAsia"/>
          <w:lang w:val="en-US" w:eastAsia="zh-CN"/>
        </w:rPr>
        <w:t>4.分层标试验台发生位移变化时，工作状态下对应数据计入沉降差，维护状态下对应数据计入调整差。</w:t>
      </w:r>
    </w:p>
    <w:p w14:paraId="60268105">
      <w:pPr>
        <w:pStyle w:val="30"/>
        <w:rPr>
          <w:rFonts w:hint="eastAsia"/>
          <w:lang w:val="en-US" w:eastAsia="zh-CN"/>
        </w:rPr>
      </w:pPr>
      <w:r>
        <w:rPr>
          <w:rFonts w:hint="eastAsia"/>
          <w:lang w:val="en-US" w:eastAsia="zh-CN"/>
        </w:rPr>
        <w:t>二、测试步骤</w:t>
      </w:r>
    </w:p>
    <w:p w14:paraId="481A1DAC">
      <w:pPr>
        <w:pStyle w:val="30"/>
        <w:rPr>
          <w:rFonts w:hint="eastAsia"/>
          <w:lang w:val="en-US" w:eastAsia="zh-CN"/>
        </w:rPr>
      </w:pPr>
      <w:r>
        <w:rPr>
          <w:rFonts w:hint="eastAsia"/>
          <w:lang w:val="en-US" w:eastAsia="zh-CN"/>
        </w:rPr>
        <w:t>1.加油后，静置3小时以上，输出各基岩标和分层标数据，包括液位高、沉降差、调整差、累计沉降量（下同）。</w:t>
      </w:r>
    </w:p>
    <w:p w14:paraId="44EE1829">
      <w:pPr>
        <w:pStyle w:val="30"/>
        <w:rPr>
          <w:rFonts w:hint="eastAsia"/>
          <w:lang w:val="en-US" w:eastAsia="zh-CN"/>
        </w:rPr>
      </w:pPr>
      <w:r>
        <w:rPr>
          <w:rFonts w:hint="eastAsia"/>
          <w:lang w:val="en-US" w:eastAsia="zh-CN"/>
        </w:rPr>
        <w:t>2.升高仪器1沉降台10mm，静置3小时以上，输出各基岩标和分层标数据。</w:t>
      </w:r>
    </w:p>
    <w:p w14:paraId="28223CF9">
      <w:pPr>
        <w:pStyle w:val="30"/>
        <w:rPr>
          <w:rFonts w:hint="eastAsia"/>
          <w:lang w:val="en-US" w:eastAsia="zh-CN"/>
        </w:rPr>
      </w:pPr>
      <w:r>
        <w:rPr>
          <w:rFonts w:hint="eastAsia"/>
          <w:lang w:eastAsia="zh-CN"/>
        </w:rPr>
        <w:t>3.</w:t>
      </w:r>
      <w:r>
        <w:rPr>
          <w:rFonts w:hint="eastAsia"/>
          <w:lang w:val="en-US" w:eastAsia="zh-CN"/>
        </w:rPr>
        <w:t>降低仪器2沉降台15mm，静置3小时以上，输出各基岩标和分层标数据。</w:t>
      </w:r>
    </w:p>
    <w:p w14:paraId="3F7573B5">
      <w:pPr>
        <w:pStyle w:val="30"/>
        <w:rPr>
          <w:rFonts w:hint="eastAsia"/>
          <w:lang w:val="en-US" w:eastAsia="zh-CN"/>
        </w:rPr>
      </w:pPr>
      <w:r>
        <w:rPr>
          <w:rFonts w:hint="eastAsia"/>
          <w:lang w:val="en-US" w:eastAsia="zh-CN"/>
        </w:rPr>
        <w:t>4.调整差测试：记录一次数据，设置仪器进入维护状态；升高仪器1调整台50mm，静置3小时以上，设置仪器退出维护状态并自动修正调整差，仪器进入工作状态，输出各基岩标和分层标数据。</w:t>
      </w:r>
    </w:p>
    <w:p w14:paraId="60CADD82">
      <w:pPr>
        <w:pStyle w:val="30"/>
        <w:rPr>
          <w:rFonts w:hint="eastAsia"/>
          <w:lang w:val="en-US" w:eastAsia="zh-CN"/>
        </w:rPr>
      </w:pPr>
      <w:r>
        <w:rPr>
          <w:rFonts w:hint="eastAsia"/>
          <w:lang w:val="en-US" w:eastAsia="zh-CN"/>
        </w:rPr>
        <w:t>5.在上位机软件或云平台检查数据准确性。</w:t>
      </w:r>
    </w:p>
    <w:p w14:paraId="27C1D374">
      <w:pPr>
        <w:pStyle w:val="30"/>
        <w:jc w:val="center"/>
        <w:rPr>
          <w:rFonts w:hint="eastAsia"/>
          <w:lang w:val="en-US" w:eastAsia="zh-CN"/>
        </w:rPr>
      </w:pPr>
      <w:r>
        <w:drawing>
          <wp:inline distT="0" distB="0" distL="114300" distR="114300">
            <wp:extent cx="6113780" cy="2887345"/>
            <wp:effectExtent l="0" t="0" r="1270" b="8255"/>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26"/>
                    <a:stretch>
                      <a:fillRect/>
                    </a:stretch>
                  </pic:blipFill>
                  <pic:spPr>
                    <a:xfrm>
                      <a:off x="0" y="0"/>
                      <a:ext cx="6113780" cy="2887345"/>
                    </a:xfrm>
                    <a:prstGeom prst="rect">
                      <a:avLst/>
                    </a:prstGeom>
                    <a:noFill/>
                    <a:ln>
                      <a:noFill/>
                    </a:ln>
                  </pic:spPr>
                </pic:pic>
              </a:graphicData>
            </a:graphic>
          </wp:inline>
        </w:drawing>
      </w:r>
    </w:p>
    <w:p w14:paraId="64E03290">
      <w:pPr>
        <w:pStyle w:val="50"/>
        <w:numPr>
          <w:ilvl w:val="0"/>
          <w:numId w:val="0"/>
        </w:numPr>
        <w:tabs>
          <w:tab w:val="left" w:pos="360"/>
        </w:tabs>
        <w:ind w:left="0" w:leftChars="0" w:firstLine="0" w:firstLineChars="0"/>
        <w:rPr>
          <w:rFonts w:hint="default" w:hAnsi="Times New Roman" w:cs="Times New Roman"/>
          <w:lang w:val="en-US" w:eastAsia="zh-CN"/>
        </w:rPr>
      </w:pPr>
      <w:r>
        <w:rPr>
          <w:rFonts w:hint="eastAsia" w:ascii="黑体" w:hAnsi="Times New Roman" w:eastAsia="黑体" w:cs="Times New Roman"/>
          <w:b w:val="0"/>
          <w:i w:val="0"/>
          <w:sz w:val="21"/>
          <w:lang w:val="en-US" w:eastAsia="zh-CN" w:bidi="ar-SA"/>
        </w:rPr>
        <w:t>图</w:t>
      </w:r>
      <w:r>
        <w:rPr>
          <w:rFonts w:hint="eastAsia" w:hAnsi="Times New Roman" w:cs="Times New Roman"/>
          <w:b w:val="0"/>
          <w:i w:val="0"/>
          <w:sz w:val="21"/>
          <w:lang w:val="en-US" w:eastAsia="zh-CN" w:bidi="ar-SA"/>
        </w:rPr>
        <w:t>A.7</w:t>
      </w:r>
      <w:r>
        <w:rPr>
          <w:rFonts w:hint="eastAsia" w:ascii="黑体" w:hAnsi="Times New Roman" w:eastAsia="黑体" w:cs="Times New Roman"/>
          <w:b w:val="0"/>
          <w:i w:val="0"/>
          <w:sz w:val="21"/>
          <w:lang w:val="en-US" w:eastAsia="zh-CN" w:bidi="ar-SA"/>
        </w:rPr>
        <w:t>　</w:t>
      </w:r>
      <w:r>
        <w:rPr>
          <w:rFonts w:hint="eastAsia" w:hAnsi="Times New Roman" w:cs="Times New Roman"/>
          <w:lang w:val="en-US" w:eastAsia="zh-CN"/>
        </w:rPr>
        <w:t>静力水准仪标定装置示意图</w:t>
      </w:r>
    </w:p>
    <w:p w14:paraId="455E4C3E">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44593CDF">
      <w:pPr>
        <w:pStyle w:val="47"/>
        <w:spacing w:before="312" w:after="312"/>
        <w:rPr>
          <w:rFonts w:hint="eastAsia"/>
          <w:lang w:val="en-US" w:eastAsia="zh-CN"/>
        </w:rPr>
      </w:pPr>
      <w:bookmarkStart w:id="176" w:name="_Toc1528"/>
      <w:r>
        <w:rPr>
          <w:rFonts w:hint="eastAsia"/>
        </w:rPr>
        <w:t>静力水准</w:t>
      </w:r>
      <w:r>
        <w:rPr>
          <w:rFonts w:hint="eastAsia"/>
          <w:lang w:val="en-US" w:eastAsia="zh-CN"/>
        </w:rPr>
        <w:t>系统</w:t>
      </w:r>
      <w:r>
        <w:rPr>
          <w:rFonts w:hint="eastAsia"/>
        </w:rPr>
        <w:t>保护形式安装示意图</w:t>
      </w:r>
      <w:bookmarkEnd w:id="176"/>
    </w:p>
    <w:p w14:paraId="70AA8F76">
      <w:pPr>
        <w:pStyle w:val="30"/>
        <w:rPr>
          <w:rFonts w:hint="eastAsia"/>
          <w:lang w:val="en-US" w:eastAsia="zh-CN"/>
        </w:rPr>
      </w:pPr>
      <w:r>
        <w:rPr>
          <w:rFonts w:hint="eastAsia"/>
          <w:lang w:val="en-US" w:eastAsia="zh-CN"/>
        </w:rPr>
        <w:t>本节图纸包含通用节点详图与整体安装构造示意图。其中测点核心安装尺寸统一执行《静力水准测点保护装置安装剖面示意图》的规定；整体示意图重点表达保护形式、管线布设与构造逻辑，细部尺寸不重复标注。</w:t>
      </w:r>
    </w:p>
    <w:p w14:paraId="5ADF29EC">
      <w:pPr>
        <w:pStyle w:val="30"/>
        <w:rPr>
          <w:rFonts w:hint="eastAsia"/>
          <w:lang w:val="en-US" w:eastAsia="zh-CN"/>
        </w:rPr>
      </w:pPr>
    </w:p>
    <w:p w14:paraId="27AAE68A">
      <w:pPr>
        <w:jc w:val="center"/>
        <w:rPr>
          <w:rFonts w:hint="eastAsia" w:ascii="宋体" w:hAnsi="宋体" w:eastAsia="宋体" w:cs="宋体"/>
          <w:color w:val="auto"/>
          <w:sz w:val="21"/>
          <w:szCs w:val="21"/>
          <w:lang w:val="en-US" w:eastAsia="zh-CN"/>
        </w:rPr>
      </w:pPr>
      <w:r>
        <w:drawing>
          <wp:inline distT="0" distB="0" distL="114300" distR="114300">
            <wp:extent cx="6114415" cy="3779520"/>
            <wp:effectExtent l="0" t="0" r="635" b="1143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7"/>
                    <a:stretch>
                      <a:fillRect/>
                    </a:stretch>
                  </pic:blipFill>
                  <pic:spPr>
                    <a:xfrm>
                      <a:off x="0" y="0"/>
                      <a:ext cx="6114415" cy="3779520"/>
                    </a:xfrm>
                    <a:prstGeom prst="rect">
                      <a:avLst/>
                    </a:prstGeom>
                    <a:noFill/>
                    <a:ln>
                      <a:noFill/>
                    </a:ln>
                  </pic:spPr>
                </pic:pic>
              </a:graphicData>
            </a:graphic>
          </wp:inline>
        </w:drawing>
      </w:r>
    </w:p>
    <w:p w14:paraId="49C14D7D">
      <w:pPr>
        <w:pStyle w:val="50"/>
        <w:numPr>
          <w:ilvl w:val="0"/>
          <w:numId w:val="0"/>
        </w:numPr>
        <w:tabs>
          <w:tab w:val="left" w:pos="360"/>
        </w:tabs>
        <w:ind w:left="0" w:leftChars="0" w:firstLine="0" w:firstLineChars="0"/>
        <w:rPr>
          <w:rFonts w:hint="eastAsia" w:hAnsi="Times New Roman" w:cs="Times New Roman"/>
          <w:lang w:val="en-US" w:eastAsia="zh-CN"/>
        </w:rPr>
      </w:pPr>
      <w:r>
        <w:rPr>
          <w:rFonts w:hint="eastAsia" w:ascii="黑体" w:hAnsi="Times New Roman" w:eastAsia="黑体" w:cs="Times New Roman"/>
          <w:b w:val="0"/>
          <w:i w:val="0"/>
          <w:sz w:val="21"/>
          <w:lang w:val="en-US" w:eastAsia="zh-CN" w:bidi="ar-SA"/>
        </w:rPr>
        <w:t>图</w:t>
      </w:r>
      <w:r>
        <w:rPr>
          <w:rFonts w:hint="eastAsia" w:hAnsi="Times New Roman" w:cs="Times New Roman"/>
          <w:lang w:val="en-US" w:eastAsia="zh-CN"/>
        </w:rPr>
        <w:t>A.8.1</w:t>
      </w:r>
      <w:r>
        <w:rPr>
          <w:rFonts w:hint="eastAsia" w:ascii="黑体" w:hAnsi="Times New Roman" w:eastAsia="黑体" w:cs="Times New Roman"/>
          <w:b w:val="0"/>
          <w:i w:val="0"/>
          <w:sz w:val="21"/>
          <w:lang w:val="en-US" w:eastAsia="zh-CN" w:bidi="ar-SA"/>
        </w:rPr>
        <w:t>　</w:t>
      </w:r>
      <w:r>
        <w:rPr>
          <w:rFonts w:hint="eastAsia" w:hAnsi="Times New Roman" w:cs="Times New Roman"/>
          <w:lang w:val="en-US" w:eastAsia="zh-CN"/>
        </w:rPr>
        <w:t>静力水准测点保护装置安装剖面示意图</w:t>
      </w:r>
    </w:p>
    <w:p w14:paraId="13B0159C">
      <w:pPr>
        <w:pStyle w:val="38"/>
        <w:rPr>
          <w:rFonts w:hint="eastAsia"/>
        </w:rPr>
      </w:pPr>
    </w:p>
    <w:p w14:paraId="1139D1D5">
      <w:pPr>
        <w:pStyle w:val="51"/>
        <w:rPr>
          <w:rFonts w:hint="eastAsia" w:hAnsi="Times New Roman" w:eastAsia="宋体" w:cs="Times New Roman"/>
        </w:rPr>
      </w:pPr>
      <w:r>
        <w:rPr>
          <w:rFonts w:hint="eastAsia" w:hAnsi="Times New Roman" w:eastAsia="宋体" w:cs="Times New Roman"/>
        </w:rPr>
        <w:t>a为混凝土墩高出地面高度，不应小于200mm；</w:t>
      </w:r>
    </w:p>
    <w:p w14:paraId="47290365">
      <w:pPr>
        <w:pStyle w:val="51"/>
        <w:rPr>
          <w:rFonts w:hint="eastAsia" w:hAnsi="Times New Roman" w:eastAsia="宋体" w:cs="Times New Roman"/>
        </w:rPr>
      </w:pPr>
      <w:r>
        <w:rPr>
          <w:rFonts w:hint="eastAsia" w:hAnsi="Times New Roman" w:eastAsia="宋体" w:cs="Times New Roman"/>
        </w:rPr>
        <w:t>b为保护套管高出混凝土墩顶面高度，不应小于150mm；</w:t>
      </w:r>
    </w:p>
    <w:p w14:paraId="693FD7E1">
      <w:pPr>
        <w:pStyle w:val="51"/>
        <w:rPr>
          <w:rFonts w:hint="eastAsia" w:hAnsi="Times New Roman" w:eastAsia="宋体" w:cs="Times New Roman"/>
        </w:rPr>
      </w:pPr>
      <w:r>
        <w:rPr>
          <w:rFonts w:hint="eastAsia" w:hAnsi="Times New Roman" w:eastAsia="宋体" w:cs="Times New Roman"/>
        </w:rPr>
        <w:t>c为标头高出保护套管顶面高度，不应小于150mm；</w:t>
      </w:r>
    </w:p>
    <w:p w14:paraId="38418EDD">
      <w:pPr>
        <w:pStyle w:val="51"/>
        <w:rPr>
          <w:rFonts w:hint="eastAsia" w:hAnsi="Times New Roman" w:eastAsia="宋体" w:cs="Times New Roman"/>
        </w:rPr>
      </w:pPr>
      <w:r>
        <w:rPr>
          <w:rFonts w:hint="eastAsia" w:hAnsi="Times New Roman" w:eastAsia="宋体" w:cs="Times New Roman"/>
        </w:rPr>
        <w:t>d为标杆与套管顶盖的环状间隙，宜为2mm～3mm；</w:t>
      </w:r>
    </w:p>
    <w:p w14:paraId="2C6D7BC2">
      <w:pPr>
        <w:pStyle w:val="51"/>
        <w:rPr>
          <w:rFonts w:hint="eastAsia" w:hAnsi="Times New Roman" w:eastAsia="宋体" w:cs="Times New Roman"/>
        </w:rPr>
      </w:pPr>
      <w:r>
        <w:rPr>
          <w:rFonts w:hint="eastAsia" w:hAnsi="Times New Roman" w:eastAsia="宋体" w:cs="Times New Roman"/>
        </w:rPr>
        <w:t>e为标组套管与内部混凝土基座的环状间隙，不应小于300mm，间隙内不得浇筑混凝土固定；</w:t>
      </w:r>
    </w:p>
    <w:p w14:paraId="3BDEF4DC">
      <w:pPr>
        <w:pStyle w:val="51"/>
        <w:rPr>
          <w:rFonts w:hint="eastAsia" w:hAnsi="Times New Roman" w:eastAsia="宋体" w:cs="Times New Roman"/>
        </w:rPr>
      </w:pPr>
      <w:r>
        <w:rPr>
          <w:rFonts w:hint="eastAsia" w:hAnsi="Times New Roman" w:eastAsia="宋体" w:cs="Times New Roman"/>
        </w:rPr>
        <w:t>f为静力水准仪与侧面保护装置内壁的侧向净距，不应小于10mm；</w:t>
      </w:r>
    </w:p>
    <w:p w14:paraId="5038DB5B">
      <w:pPr>
        <w:pStyle w:val="51"/>
        <w:rPr>
          <w:rFonts w:hint="eastAsia" w:hAnsi="Times New Roman" w:eastAsia="宋体" w:cs="Times New Roman"/>
          <w:lang w:val="en-US" w:eastAsia="zh-CN"/>
        </w:rPr>
      </w:pPr>
      <w:r>
        <w:rPr>
          <w:rFonts w:hint="eastAsia" w:hAnsi="Times New Roman" w:eastAsia="宋体" w:cs="Times New Roman"/>
        </w:rPr>
        <w:t>g为设备顶部与保护设施顶部的竖向净距，不应小于200mm</w:t>
      </w:r>
      <w:r>
        <w:rPr>
          <w:rFonts w:hint="eastAsia" w:hAnsi="Times New Roman" w:eastAsia="宋体" w:cs="Times New Roman"/>
          <w:lang w:eastAsia="zh-CN"/>
        </w:rPr>
        <w:t>。</w:t>
      </w:r>
    </w:p>
    <w:p w14:paraId="76B141C8">
      <w:pPr>
        <w:numPr>
          <w:ilvl w:val="-1"/>
          <w:numId w:val="0"/>
        </w:numPr>
        <w:bidi w:val="0"/>
        <w:ind w:left="0" w:leftChars="0" w:firstLine="0" w:firstLineChars="0"/>
        <w:outlineLvl w:val="9"/>
        <w:rPr>
          <w:rFonts w:hint="eastAsia" w:ascii="宋体" w:eastAsia="宋体" w:cs="Times New Roman"/>
          <w:sz w:val="21"/>
          <w:szCs w:val="20"/>
          <w:u w:val="none"/>
          <w:lang w:val="en-US" w:eastAsia="zh-CN" w:bidi="ar-SA"/>
        </w:rPr>
      </w:pPr>
      <w:r>
        <w:rPr>
          <w:rFonts w:ascii="宋体" w:hAnsi="宋体" w:eastAsia="宋体" w:cs="宋体"/>
          <w:sz w:val="24"/>
          <w:szCs w:val="24"/>
        </w:rPr>
        <w:br w:type="page"/>
      </w:r>
    </w:p>
    <w:p w14:paraId="31C9F850">
      <w:pPr>
        <w:pStyle w:val="47"/>
        <w:bidi w:val="0"/>
        <w:spacing w:before="312" w:after="312"/>
        <w:ind w:left="420" w:leftChars="0" w:firstLineChars="0"/>
        <w:outlineLvl w:val="9"/>
        <w:rPr>
          <w:rFonts w:hint="eastAsia"/>
          <w:lang w:val="en-US" w:eastAsia="zh-CN"/>
        </w:rPr>
      </w:pPr>
      <w:r>
        <w:rPr>
          <w:rFonts w:hint="eastAsia"/>
        </w:rPr>
        <w:t>静力水准仪沉降</w:t>
      </w:r>
      <w:r>
        <w:rPr>
          <w:rFonts w:hint="eastAsia"/>
          <w:lang w:val="en-US" w:eastAsia="zh-CN"/>
        </w:rPr>
        <w:t>计算</w:t>
      </w:r>
      <w:r>
        <w:rPr>
          <w:rFonts w:hint="eastAsia"/>
        </w:rPr>
        <w:t>原理示意图</w:t>
      </w:r>
    </w:p>
    <w:p w14:paraId="0A7045F0">
      <w:pPr>
        <w:pStyle w:val="30"/>
        <w:bidi w:val="0"/>
        <w:ind w:left="0" w:leftChars="0" w:firstLine="0" w:firstLineChars="0"/>
        <w:jc w:val="center"/>
        <w:outlineLvl w:val="9"/>
      </w:pPr>
      <w:r>
        <w:drawing>
          <wp:inline distT="0" distB="0" distL="114300" distR="114300">
            <wp:extent cx="6117590" cy="2348865"/>
            <wp:effectExtent l="0" t="0" r="16510" b="13335"/>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28"/>
                    <a:stretch>
                      <a:fillRect/>
                    </a:stretch>
                  </pic:blipFill>
                  <pic:spPr>
                    <a:xfrm>
                      <a:off x="0" y="0"/>
                      <a:ext cx="6117590" cy="2348865"/>
                    </a:xfrm>
                    <a:prstGeom prst="rect">
                      <a:avLst/>
                    </a:prstGeom>
                    <a:noFill/>
                    <a:ln>
                      <a:noFill/>
                    </a:ln>
                  </pic:spPr>
                </pic:pic>
              </a:graphicData>
            </a:graphic>
          </wp:inline>
        </w:drawing>
      </w:r>
    </w:p>
    <w:p w14:paraId="079CE988">
      <w:pPr>
        <w:pStyle w:val="50"/>
        <w:numPr>
          <w:ilvl w:val="0"/>
          <w:numId w:val="0"/>
        </w:numPr>
        <w:tabs>
          <w:tab w:val="left" w:pos="360"/>
        </w:tabs>
        <w:ind w:left="0" w:leftChars="0" w:firstLine="0" w:firstLineChars="0"/>
        <w:rPr>
          <w:rFonts w:hint="eastAsia" w:hAnsi="Times New Roman" w:cs="Times New Roman"/>
          <w:lang w:val="en-US" w:eastAsia="zh-CN"/>
        </w:rPr>
      </w:pPr>
      <w:r>
        <w:rPr>
          <w:rFonts w:hint="eastAsia" w:hAnsi="Times New Roman" w:cs="Times New Roman"/>
          <w:lang w:val="en-US" w:eastAsia="zh-CN"/>
        </w:rPr>
        <w:t>图A.9　静力水准仪沉降计算原理示意图</w:t>
      </w:r>
    </w:p>
    <w:p w14:paraId="59BC1190">
      <w:pPr>
        <w:pStyle w:val="49"/>
        <w:numPr>
          <w:ilvl w:val="0"/>
          <w:numId w:val="23"/>
        </w:numPr>
        <w:rPr>
          <w:rFonts w:hint="eastAsia" w:hAnsi="Times New Roman" w:eastAsia="宋体" w:cs="Times New Roman"/>
        </w:rPr>
      </w:pPr>
      <w:r>
        <w:rPr>
          <w:rFonts w:hint="eastAsia" w:hAnsi="Times New Roman" w:eastAsia="宋体" w:cs="Times New Roman"/>
        </w:rPr>
        <w:t>静止状态下，连通的静力水准系统自由液面齐平，图中虚线为连通液面基准线。</w:t>
      </w:r>
    </w:p>
    <w:p w14:paraId="347BBE7B">
      <w:pPr>
        <w:pStyle w:val="49"/>
        <w:numPr>
          <w:ilvl w:val="0"/>
          <w:numId w:val="23"/>
        </w:numPr>
        <w:rPr>
          <w:rFonts w:hint="eastAsia" w:hAnsi="Times New Roman" w:eastAsia="宋体" w:cs="Times New Roman"/>
        </w:rPr>
      </w:pPr>
      <w:r>
        <w:rPr>
          <w:rFonts w:hint="eastAsia" w:hAnsi="Times New Roman" w:eastAsia="宋体" w:cs="Times New Roman"/>
        </w:rPr>
        <w:t>液位高为静力水准仪内部液面距离仪器底部的高度。</w:t>
      </w:r>
    </w:p>
    <w:p w14:paraId="31C5A721">
      <w:pPr>
        <w:pStyle w:val="49"/>
        <w:numPr>
          <w:ilvl w:val="0"/>
          <w:numId w:val="23"/>
        </w:numPr>
        <w:rPr>
          <w:rFonts w:hint="eastAsia" w:hAnsi="Times New Roman" w:eastAsia="宋体" w:cs="Times New Roman"/>
        </w:rPr>
      </w:pPr>
      <w:r>
        <w:rPr>
          <w:rFonts w:hint="eastAsia" w:hAnsi="Times New Roman" w:eastAsia="宋体" w:cs="Times New Roman"/>
        </w:rPr>
        <w:t>沉降差为同一时刻分层标静力水准仪液位高与基岩标液位高的差值，按式 (7.2.1) 计算。</w:t>
      </w:r>
    </w:p>
    <w:p w14:paraId="59E4A610">
      <w:pPr>
        <w:pStyle w:val="49"/>
        <w:numPr>
          <w:ilvl w:val="0"/>
          <w:numId w:val="23"/>
        </w:numPr>
        <w:rPr>
          <w:rFonts w:hint="eastAsia" w:hAnsi="Times New Roman" w:eastAsia="宋体" w:cs="Times New Roman"/>
        </w:rPr>
      </w:pPr>
      <w:r>
        <w:rPr>
          <w:rFonts w:hint="eastAsia" w:hAnsi="Times New Roman" w:eastAsia="宋体" w:cs="Times New Roman"/>
        </w:rPr>
        <w:t>当地面沉降至满量程时，分层标底座下移至最低位置，对应液位高达到仪器最大测量量程。</w:t>
      </w:r>
    </w:p>
    <w:p w14:paraId="76801211">
      <w:pPr>
        <w:pStyle w:val="49"/>
        <w:numPr>
          <w:ilvl w:val="0"/>
          <w:numId w:val="23"/>
        </w:numPr>
        <w:rPr>
          <w:rFonts w:hint="eastAsia" w:hAnsi="Times New Roman" w:eastAsia="宋体" w:cs="Times New Roman"/>
        </w:rPr>
      </w:pPr>
      <w:r>
        <w:rPr>
          <w:rFonts w:hint="eastAsia" w:hAnsi="Times New Roman" w:eastAsia="宋体" w:cs="Times New Roman"/>
        </w:rPr>
        <w:t xml:space="preserve">调整差为仪器底座安装或调整引起的变化值；同一点位多次调整的叠加值为累计调整差，按式 </w:t>
      </w:r>
      <w:r>
        <w:rPr>
          <w:rFonts w:hint="eastAsia" w:cs="Times New Roman"/>
          <w:lang w:eastAsia="zh-CN"/>
        </w:rPr>
        <w:t>（</w:t>
      </w:r>
      <w:r>
        <w:rPr>
          <w:rFonts w:hint="eastAsia" w:hAnsi="Times New Roman" w:eastAsia="宋体" w:cs="Times New Roman"/>
        </w:rPr>
        <w:t>7.2.2</w:t>
      </w:r>
      <w:r>
        <w:rPr>
          <w:rFonts w:hint="eastAsia" w:cs="Times New Roman"/>
          <w:lang w:eastAsia="zh-CN"/>
        </w:rPr>
        <w:t>）</w:t>
      </w:r>
      <w:r>
        <w:rPr>
          <w:rFonts w:hint="eastAsia" w:hAnsi="Times New Roman" w:eastAsia="宋体" w:cs="Times New Roman"/>
        </w:rPr>
        <w:t>、式 (7.2.3) 计算。</w:t>
      </w:r>
    </w:p>
    <w:p w14:paraId="25ABAB86">
      <w:pPr>
        <w:pStyle w:val="49"/>
        <w:numPr>
          <w:ilvl w:val="0"/>
          <w:numId w:val="23"/>
        </w:numPr>
        <w:rPr>
          <w:rFonts w:hint="eastAsia" w:hAnsi="Times New Roman" w:eastAsia="宋体" w:cs="Times New Roman"/>
          <w:lang w:val="en-US" w:eastAsia="zh-CN"/>
        </w:rPr>
      </w:pPr>
      <w:r>
        <w:rPr>
          <w:rFonts w:hint="eastAsia" w:hAnsi="Times New Roman" w:eastAsia="宋体" w:cs="Times New Roman"/>
        </w:rPr>
        <w:t>沉降量为当前累计调整差与当前沉降差读数之和，按式 (7.2.4) 计算；沉降为正，升高为负</w:t>
      </w:r>
      <w:r>
        <w:rPr>
          <w:rFonts w:hint="eastAsia" w:cs="Times New Roman"/>
          <w:lang w:eastAsia="zh-CN"/>
        </w:rPr>
        <w:t>。</w:t>
      </w:r>
    </w:p>
    <w:p w14:paraId="3A83BDBC">
      <w:pPr>
        <w:pStyle w:val="46"/>
        <w:shd w:val="clear" w:color="FFFFFF" w:fill="FFFFFF"/>
        <w:rPr>
          <w:rFonts w:hint="eastAsia" w:hAnsi="Times New Roman" w:cs="Times New Roman"/>
        </w:rPr>
      </w:pPr>
      <w:r>
        <w:rPr>
          <w:rFonts w:hint="eastAsia" w:ascii="宋体" w:hAnsi="宋体" w:eastAsia="宋体" w:cs="宋体"/>
          <w:b/>
          <w:bCs/>
          <w:color w:val="000000"/>
          <w:spacing w:val="0"/>
          <w:w w:val="100"/>
          <w:kern w:val="2"/>
          <w:position w:val="0"/>
          <w:sz w:val="20"/>
          <w:szCs w:val="20"/>
          <w:u w:val="none"/>
          <w:shd w:val="clear" w:color="auto" w:fill="auto"/>
          <w:lang w:val="en-US" w:eastAsia="zh-CN" w:bidi="zh-CN"/>
        </w:rPr>
        <w:br w:type="page"/>
      </w:r>
      <w:bookmarkStart w:id="177" w:name="_Toc26884"/>
      <w:bookmarkStart w:id="178" w:name="_Toc8989"/>
      <w:r>
        <w:rPr>
          <w:rFonts w:hint="eastAsia" w:hAnsi="Times New Roman" w:cs="Times New Roman"/>
        </w:rPr>
        <w:br w:type="textWrapping"/>
      </w:r>
      <w:bookmarkStart w:id="179" w:name="_Toc450293167"/>
      <w:r>
        <w:rPr>
          <w:rFonts w:hint="eastAsia" w:hAnsi="Times New Roman" w:cs="Times New Roman"/>
        </w:rPr>
        <w:t>（资料性附录）</w:t>
      </w:r>
      <w:r>
        <w:rPr>
          <w:rFonts w:hint="eastAsia" w:hAnsi="Times New Roman" w:cs="Times New Roman"/>
        </w:rPr>
        <w:br w:type="textWrapping"/>
      </w:r>
      <w:bookmarkEnd w:id="179"/>
      <w:r>
        <w:rPr>
          <w:rFonts w:hint="eastAsia" w:hAnsi="Times New Roman" w:cs="Times New Roman"/>
        </w:rPr>
        <w:t>监测报告编写提纲</w:t>
      </w:r>
      <w:bookmarkEnd w:id="177"/>
      <w:bookmarkEnd w:id="178"/>
    </w:p>
    <w:p w14:paraId="5401560B">
      <w:pPr>
        <w:pStyle w:val="47"/>
        <w:spacing w:before="312" w:after="312"/>
        <w:rPr>
          <w:rFonts w:hint="eastAsia"/>
          <w:lang w:val="en-US" w:eastAsia="zh-CN"/>
        </w:rPr>
      </w:pPr>
      <w:bookmarkStart w:id="180" w:name="_Toc20528"/>
      <w:bookmarkStart w:id="181" w:name="_Toc31974"/>
      <w:r>
        <w:rPr>
          <w:rFonts w:hint="eastAsia"/>
          <w:lang w:val="en-US" w:eastAsia="zh-CN"/>
        </w:rPr>
        <w:t>封面</w:t>
      </w:r>
      <w:bookmarkEnd w:id="180"/>
      <w:bookmarkEnd w:id="181"/>
    </w:p>
    <w:p w14:paraId="13681257">
      <w:pPr>
        <w:pStyle w:val="30"/>
        <w:rPr>
          <w:rFonts w:hint="eastAsia"/>
          <w:lang w:val="en-US" w:eastAsia="zh-CN"/>
        </w:rPr>
      </w:pPr>
      <w:r>
        <w:rPr>
          <w:rFonts w:hint="eastAsia"/>
          <w:lang w:val="en-US" w:eastAsia="zh-CN"/>
        </w:rPr>
        <w:t>项目名称、标组编号、报告名称、编制单位、日期、编号等内容。</w:t>
      </w:r>
    </w:p>
    <w:p w14:paraId="4FABC0B2">
      <w:pPr>
        <w:pStyle w:val="47"/>
        <w:spacing w:before="312" w:after="312"/>
        <w:rPr>
          <w:rFonts w:hint="eastAsia"/>
          <w:lang w:val="en-US" w:eastAsia="zh-CN"/>
        </w:rPr>
      </w:pPr>
      <w:bookmarkStart w:id="182" w:name="_Toc32613"/>
      <w:bookmarkStart w:id="183" w:name="_Toc25178"/>
      <w:r>
        <w:rPr>
          <w:rFonts w:hint="eastAsia"/>
          <w:lang w:val="en-US" w:eastAsia="zh-CN"/>
        </w:rPr>
        <w:t>目录</w:t>
      </w:r>
      <w:bookmarkEnd w:id="182"/>
      <w:bookmarkEnd w:id="183"/>
    </w:p>
    <w:p w14:paraId="04432F89">
      <w:pPr>
        <w:pStyle w:val="47"/>
        <w:spacing w:before="312" w:after="312"/>
        <w:rPr>
          <w:rFonts w:hint="eastAsia"/>
          <w:lang w:val="en-US" w:eastAsia="zh-CN"/>
        </w:rPr>
      </w:pPr>
      <w:bookmarkStart w:id="184" w:name="_Toc12644"/>
      <w:bookmarkStart w:id="185" w:name="_Toc17064"/>
      <w:r>
        <w:rPr>
          <w:rFonts w:hint="eastAsia"/>
          <w:lang w:val="en-US" w:eastAsia="zh-CN"/>
        </w:rPr>
        <w:t>概述</w:t>
      </w:r>
      <w:bookmarkEnd w:id="184"/>
      <w:bookmarkEnd w:id="185"/>
    </w:p>
    <w:p w14:paraId="56DF8EB9">
      <w:pPr>
        <w:pStyle w:val="30"/>
        <w:rPr>
          <w:rFonts w:hint="eastAsia"/>
          <w:lang w:val="en-US" w:eastAsia="zh-CN"/>
        </w:rPr>
      </w:pPr>
      <w:r>
        <w:rPr>
          <w:rFonts w:hint="eastAsia"/>
          <w:lang w:val="en-US" w:eastAsia="zh-CN"/>
        </w:rPr>
        <w:t>项目概况、监测目的、标组与仪器配置、规范依据等内容。</w:t>
      </w:r>
    </w:p>
    <w:p w14:paraId="72845F0E">
      <w:pPr>
        <w:pStyle w:val="47"/>
        <w:spacing w:before="312" w:after="312"/>
        <w:rPr>
          <w:rFonts w:hint="eastAsia"/>
          <w:lang w:val="en-US" w:eastAsia="zh-CN"/>
        </w:rPr>
      </w:pPr>
      <w:bookmarkStart w:id="186" w:name="_Toc24070"/>
      <w:bookmarkStart w:id="187" w:name="_Toc27050"/>
      <w:r>
        <w:rPr>
          <w:rFonts w:hint="eastAsia"/>
          <w:lang w:val="en-US" w:eastAsia="zh-CN"/>
        </w:rPr>
        <w:t>现场与安装情况</w:t>
      </w:r>
      <w:bookmarkEnd w:id="186"/>
      <w:bookmarkEnd w:id="187"/>
    </w:p>
    <w:p w14:paraId="437F8F71">
      <w:pPr>
        <w:pStyle w:val="30"/>
        <w:rPr>
          <w:rFonts w:hint="eastAsia"/>
          <w:lang w:val="en-US" w:eastAsia="zh-CN"/>
        </w:rPr>
      </w:pPr>
      <w:r>
        <w:rPr>
          <w:rFonts w:hint="eastAsia"/>
          <w:lang w:val="en-US" w:eastAsia="zh-CN"/>
        </w:rPr>
        <w:t>场地条件、保护形式、管路布设、仪器安装、补液系统、防雷供电等内容。</w:t>
      </w:r>
    </w:p>
    <w:p w14:paraId="5C33F86B">
      <w:pPr>
        <w:pStyle w:val="47"/>
        <w:spacing w:before="312" w:after="312"/>
        <w:rPr>
          <w:rFonts w:hint="eastAsia"/>
          <w:lang w:val="en-US" w:eastAsia="zh-CN"/>
        </w:rPr>
      </w:pPr>
      <w:bookmarkStart w:id="188" w:name="_Toc14326"/>
      <w:bookmarkStart w:id="189" w:name="_Toc782"/>
      <w:r>
        <w:rPr>
          <w:rFonts w:hint="eastAsia"/>
          <w:lang w:val="en-US" w:eastAsia="zh-CN"/>
        </w:rPr>
        <w:t>调试与校准</w:t>
      </w:r>
      <w:bookmarkEnd w:id="188"/>
      <w:bookmarkEnd w:id="189"/>
    </w:p>
    <w:p w14:paraId="3BE9AB57">
      <w:pPr>
        <w:pStyle w:val="30"/>
        <w:rPr>
          <w:rFonts w:hint="eastAsia"/>
          <w:lang w:val="en-US" w:eastAsia="zh-CN"/>
        </w:rPr>
      </w:pPr>
      <w:r>
        <w:rPr>
          <w:rFonts w:hint="eastAsia"/>
          <w:lang w:val="en-US" w:eastAsia="zh-CN"/>
        </w:rPr>
        <w:t>初始校准、初始调整差、沉降量起算记录、稳定性测试等内容。</w:t>
      </w:r>
    </w:p>
    <w:p w14:paraId="4695AE61">
      <w:pPr>
        <w:pStyle w:val="47"/>
        <w:spacing w:before="312" w:after="312"/>
        <w:rPr>
          <w:rFonts w:hint="eastAsia"/>
          <w:lang w:val="en-US" w:eastAsia="zh-CN"/>
        </w:rPr>
      </w:pPr>
      <w:bookmarkStart w:id="190" w:name="_Toc27289"/>
      <w:bookmarkStart w:id="191" w:name="_Toc521"/>
      <w:r>
        <w:rPr>
          <w:rFonts w:hint="eastAsia"/>
          <w:lang w:val="en-US" w:eastAsia="zh-CN"/>
        </w:rPr>
        <w:t>数据处理</w:t>
      </w:r>
      <w:bookmarkEnd w:id="190"/>
      <w:bookmarkEnd w:id="191"/>
    </w:p>
    <w:p w14:paraId="40519C73">
      <w:pPr>
        <w:pStyle w:val="30"/>
        <w:rPr>
          <w:rFonts w:hint="eastAsia"/>
          <w:lang w:val="en-US" w:eastAsia="zh-CN"/>
        </w:rPr>
      </w:pPr>
      <w:r>
        <w:rPr>
          <w:rFonts w:hint="eastAsia"/>
          <w:lang w:val="en-US" w:eastAsia="zh-CN"/>
        </w:rPr>
        <w:t>液位高、沉降差、累计调整差、沉降量计算过程与结果等内容。</w:t>
      </w:r>
    </w:p>
    <w:p w14:paraId="5741CF48">
      <w:pPr>
        <w:pStyle w:val="47"/>
        <w:spacing w:before="312" w:after="312"/>
        <w:rPr>
          <w:rFonts w:hint="eastAsia"/>
          <w:lang w:val="en-US" w:eastAsia="zh-CN"/>
        </w:rPr>
      </w:pPr>
      <w:bookmarkStart w:id="192" w:name="_Toc18458"/>
      <w:bookmarkStart w:id="193" w:name="_Toc27073"/>
      <w:r>
        <w:rPr>
          <w:rFonts w:hint="eastAsia"/>
          <w:lang w:val="en-US" w:eastAsia="zh-CN"/>
        </w:rPr>
        <w:t>数据成果</w:t>
      </w:r>
      <w:bookmarkEnd w:id="192"/>
      <w:bookmarkEnd w:id="193"/>
    </w:p>
    <w:p w14:paraId="54E1CB2D">
      <w:pPr>
        <w:pStyle w:val="30"/>
        <w:rPr>
          <w:rFonts w:hint="eastAsia"/>
          <w:lang w:val="en-US" w:eastAsia="zh-CN"/>
        </w:rPr>
      </w:pPr>
      <w:r>
        <w:rPr>
          <w:rFonts w:hint="eastAsia"/>
          <w:lang w:val="en-US" w:eastAsia="zh-CN"/>
        </w:rPr>
        <w:t>数据表、时间序列曲线、分层沉降柱状图、区域沉降热力图等内容。</w:t>
      </w:r>
    </w:p>
    <w:p w14:paraId="3B747A07">
      <w:pPr>
        <w:pStyle w:val="47"/>
        <w:spacing w:before="312" w:after="312"/>
        <w:rPr>
          <w:rFonts w:hint="eastAsia"/>
          <w:lang w:val="en-US" w:eastAsia="zh-CN"/>
        </w:rPr>
      </w:pPr>
      <w:bookmarkStart w:id="194" w:name="_Toc24032"/>
      <w:bookmarkStart w:id="195" w:name="_Toc32632"/>
      <w:r>
        <w:rPr>
          <w:rFonts w:hint="eastAsia"/>
          <w:lang w:val="en-US" w:eastAsia="zh-CN"/>
        </w:rPr>
        <w:t>运行与维护</w:t>
      </w:r>
      <w:bookmarkEnd w:id="194"/>
      <w:bookmarkEnd w:id="195"/>
    </w:p>
    <w:p w14:paraId="0CA5FF4F">
      <w:pPr>
        <w:pStyle w:val="30"/>
        <w:rPr>
          <w:rFonts w:hint="eastAsia"/>
          <w:lang w:val="en-US" w:eastAsia="zh-CN"/>
        </w:rPr>
      </w:pPr>
      <w:r>
        <w:rPr>
          <w:rFonts w:hint="eastAsia"/>
          <w:lang w:val="en-US" w:eastAsia="zh-CN"/>
        </w:rPr>
        <w:t>巡检记录、故障处理、仪器调整、补液、气泡排除、更换记录等内容。</w:t>
      </w:r>
    </w:p>
    <w:p w14:paraId="7AC01FFB">
      <w:pPr>
        <w:pStyle w:val="47"/>
        <w:spacing w:before="312" w:after="312"/>
        <w:rPr>
          <w:rFonts w:hint="eastAsia"/>
          <w:lang w:val="en-US" w:eastAsia="zh-CN"/>
        </w:rPr>
      </w:pPr>
      <w:bookmarkStart w:id="196" w:name="_Toc6495"/>
      <w:bookmarkStart w:id="197" w:name="_Toc13292"/>
      <w:r>
        <w:rPr>
          <w:rFonts w:hint="eastAsia"/>
          <w:lang w:val="en-US" w:eastAsia="zh-CN"/>
        </w:rPr>
        <w:t>质量评价</w:t>
      </w:r>
      <w:bookmarkEnd w:id="196"/>
      <w:bookmarkEnd w:id="197"/>
    </w:p>
    <w:p w14:paraId="65C7D0AC">
      <w:pPr>
        <w:pStyle w:val="30"/>
        <w:rPr>
          <w:rFonts w:hint="eastAsia"/>
          <w:lang w:val="en-US" w:eastAsia="zh-CN"/>
        </w:rPr>
      </w:pPr>
      <w:r>
        <w:rPr>
          <w:rFonts w:hint="eastAsia"/>
          <w:lang w:val="en-US" w:eastAsia="zh-CN"/>
        </w:rPr>
        <w:t>数据完整率、准确率、稳定性、精度比对结果等内容。</w:t>
      </w:r>
    </w:p>
    <w:p w14:paraId="3100B85D">
      <w:pPr>
        <w:pStyle w:val="47"/>
        <w:spacing w:before="312" w:after="312"/>
        <w:rPr>
          <w:rFonts w:hint="eastAsia"/>
          <w:lang w:val="en-US" w:eastAsia="zh-CN"/>
        </w:rPr>
      </w:pPr>
      <w:bookmarkStart w:id="198" w:name="_Toc13717"/>
      <w:bookmarkStart w:id="199" w:name="_Toc17663"/>
      <w:r>
        <w:rPr>
          <w:rFonts w:hint="eastAsia"/>
          <w:lang w:val="en-US" w:eastAsia="zh-CN"/>
        </w:rPr>
        <w:t>结论与建议</w:t>
      </w:r>
      <w:bookmarkEnd w:id="198"/>
      <w:bookmarkEnd w:id="199"/>
    </w:p>
    <w:p w14:paraId="69C79DAA">
      <w:pPr>
        <w:pStyle w:val="30"/>
        <w:rPr>
          <w:rFonts w:hint="default"/>
          <w:lang w:val="en-US" w:eastAsia="zh-CN"/>
        </w:rPr>
      </w:pPr>
      <w:r>
        <w:rPr>
          <w:rFonts w:hint="eastAsia"/>
          <w:lang w:val="en-US" w:eastAsia="zh-CN"/>
        </w:rPr>
        <w:t>监测成果、沉降特征、异常情况、运维建议、预警提示等内容。</w:t>
      </w:r>
    </w:p>
    <w:p w14:paraId="03252FB9">
      <w:pPr>
        <w:pStyle w:val="47"/>
        <w:spacing w:before="312" w:after="312"/>
        <w:ind w:left="420" w:leftChars="0" w:firstLineChars="0"/>
        <w:rPr>
          <w:rFonts w:hint="eastAsia" w:hAnsi="Times New Roman" w:cs="Times New Roman"/>
          <w:lang w:val="en-US" w:eastAsia="zh-CN"/>
        </w:rPr>
      </w:pPr>
      <w:bookmarkStart w:id="200" w:name="_Toc25955"/>
      <w:bookmarkStart w:id="201" w:name="_Toc6351"/>
      <w:r>
        <w:rPr>
          <w:rFonts w:hint="eastAsia"/>
          <w:lang w:val="en-US" w:eastAsia="zh-CN"/>
        </w:rPr>
        <w:t>附件</w:t>
      </w:r>
      <w:bookmarkEnd w:id="200"/>
      <w:bookmarkEnd w:id="201"/>
    </w:p>
    <w:p w14:paraId="783EB72A">
      <w:pPr>
        <w:pStyle w:val="30"/>
        <w:rPr>
          <w:rFonts w:hint="eastAsia"/>
          <w:lang w:val="en-US" w:eastAsia="zh-CN"/>
        </w:rPr>
      </w:pPr>
      <w:r>
        <w:rPr>
          <w:rFonts w:hint="eastAsia"/>
          <w:lang w:val="en-US" w:eastAsia="zh-CN"/>
        </w:rPr>
        <w:t>仪器合格证、检测报告、现场照片、拓扑图、安装图、隐蔽工程记录、验收记录等内容。</w:t>
      </w:r>
    </w:p>
    <w:p w14:paraId="7D4F078E">
      <w:pPr>
        <w:pStyle w:val="30"/>
        <w:rPr>
          <w:rFonts w:hint="default"/>
          <w:color w:val="FF0000"/>
          <w:lang w:val="en-US" w:eastAsia="zh-CN"/>
        </w:rPr>
      </w:pPr>
    </w:p>
    <w:p w14:paraId="6E8962C1">
      <w:pPr>
        <w:pStyle w:val="30"/>
        <w:rPr>
          <w:rFonts w:hint="default"/>
          <w:color w:val="FF0000"/>
          <w:lang w:val="en-US" w:eastAsia="zh-CN"/>
        </w:rPr>
      </w:pPr>
    </w:p>
    <w:p w14:paraId="24F2652B">
      <w:pPr>
        <w:pStyle w:val="30"/>
        <w:rPr>
          <w:rFonts w:hint="default"/>
          <w:color w:val="FF0000"/>
          <w:lang w:val="en-US" w:eastAsia="zh-CN"/>
        </w:rPr>
      </w:pPr>
    </w:p>
    <w:p w14:paraId="368EE5BB">
      <w:pPr>
        <w:pStyle w:val="30"/>
        <w:rPr>
          <w:rFonts w:hint="default"/>
          <w:color w:val="FF0000"/>
          <w:lang w:val="en-US" w:eastAsia="zh-CN"/>
        </w:rPr>
      </w:pPr>
    </w:p>
    <w:p w14:paraId="565B10E1">
      <w:pPr>
        <w:pStyle w:val="41"/>
        <w:framePr w:wrap="around" w:vAnchor="text" w:hAnchor="page" w:x="4010" w:y="122"/>
        <w:rPr>
          <w:rFonts w:hint="eastAsia"/>
        </w:rPr>
      </w:pPr>
      <w:r>
        <w:t>_________________________________</w:t>
      </w:r>
    </w:p>
    <w:p w14:paraId="01BE650B">
      <w:pPr>
        <w:pStyle w:val="30"/>
        <w:ind w:left="0" w:leftChars="0" w:firstLine="0" w:firstLineChars="0"/>
        <w:rPr>
          <w:rFonts w:hint="eastAsia"/>
          <w:lang w:val="en-US" w:eastAsia="zh-CN"/>
        </w:rPr>
      </w:pPr>
    </w:p>
    <w:sectPr>
      <w:headerReference r:id="rId20" w:type="default"/>
      <w:headerReference r:id="rId21" w:type="even"/>
      <w:type w:val="continuous"/>
      <w:pgSz w:w="11905" w:h="16838"/>
      <w:pgMar w:top="567" w:right="1134" w:bottom="1134" w:left="1134" w:header="1417" w:footer="1134" w:gutter="0"/>
      <w:pgNumType w:fmt="decimal"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B2E8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7835C2">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7835C2">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F9E2E">
    <w:pPr>
      <w:pStyle w:val="5"/>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E89B5">
                          <w:pPr>
                            <w:pStyle w:val="5"/>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48E89B5">
                    <w:pPr>
                      <w:pStyle w:val="5"/>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3A39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C8531">
    <w:pPr>
      <w:pStyle w:val="5"/>
    </w:pPr>
    <w:r>
      <w:rPr>
        <w:sz w:val="18"/>
      </w:rPr>
      <mc:AlternateContent>
        <mc:Choice Requires="wps">
          <w:drawing>
            <wp:anchor distT="0" distB="0" distL="114300" distR="114300" simplePos="0" relativeHeight="251667456" behindDoc="0" locked="0" layoutInCell="1" allowOverlap="1">
              <wp:simplePos x="0" y="0"/>
              <wp:positionH relativeFrom="margin">
                <wp:posOffset>-20320</wp:posOffset>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FF9773">
                          <w:pPr>
                            <w:pStyle w:val="5"/>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6pt;margin-top:0pt;height:144pt;width:144pt;mso-position-horizontal-relative:margin;mso-wrap-style:none;z-index:251667456;mso-width-relative:page;mso-height-relative:page;" filled="f" stroked="f" coordsize="21600,21600" o:gfxdata="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UbGNQAAAAHAQAADwAAAAAAAAABACAAAAAiAAAAZHJzL2Rvd25yZXYueG1sUEsB&#10;AhQAFAAAAAgAh07iQCMFE50yAgAAYwQAAA4AAAAAAAAAAQAgAAAAIwEAAGRycy9lMm9Eb2MueG1s&#10;UEsFBgAAAAAGAAYAWQEAAMcFAAAAAA==&#10;">
              <v:fill on="f" focussize="0,0"/>
              <v:stroke on="f" weight="0.5pt"/>
              <v:imagedata o:title=""/>
              <o:lock v:ext="edit" aspectratio="f"/>
              <v:textbox inset="0mm,0mm,0mm,0mm" style="mso-fit-shape-to-text:t;">
                <w:txbxContent>
                  <w:p w14:paraId="17FF9773">
                    <w:pPr>
                      <w:pStyle w:val="5"/>
                    </w:pPr>
                    <w:r>
                      <w:fldChar w:fldCharType="begin"/>
                    </w:r>
                    <w:r>
                      <w:instrText xml:space="preserve"> PAGE  \* MERGEFORMAT </w:instrText>
                    </w:r>
                    <w:r>
                      <w:fldChar w:fldCharType="separate"/>
                    </w:r>
                    <w:r>
                      <w:t>I</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5F8AA">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C95F8AA">
                    <w:pPr>
                      <w:pStyle w:val="5"/>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C5B74">
    <w:pPr>
      <w:pStyle w:val="5"/>
      <w:jc w:val="right"/>
    </w:pPr>
    <w:r>
      <w:rPr>
        <w:sz w:val="18"/>
      </w:rPr>
      <mc:AlternateContent>
        <mc:Choice Requires="wps">
          <w:drawing>
            <wp:anchor distT="0" distB="0" distL="114300" distR="114300" simplePos="0" relativeHeight="251666432" behindDoc="0" locked="0" layoutInCell="1" allowOverlap="1">
              <wp:simplePos x="0" y="0"/>
              <wp:positionH relativeFrom="margin">
                <wp:posOffset>6048375</wp:posOffset>
              </wp:positionH>
              <wp:positionV relativeFrom="paragraph">
                <wp:posOffset>-15875</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305DE">
                          <w:pPr>
                            <w:pStyle w:val="5"/>
                            <w:jc w:val="both"/>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76.25pt;margin-top:-1.25pt;height:144pt;width:144pt;mso-position-horizontal-relative:margin;mso-wrap-style:none;z-index:251666432;mso-width-relative:page;mso-height-relative:page;" filled="f" stroked="f" coordsize="21600,21600" o:gfxdata="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5Io+/tcAAAALAQAADwAAAAAAAAABACAAAAAiAAAAZHJzL2Rvd25yZXYueG1s&#10;UEsBAhQAFAAAAAgAh07iQC5WZn4yAgAAYwQAAA4AAAAAAAAAAQAgAAAAJgEAAGRycy9lMm9Eb2Mu&#10;eG1sUEsFBgAAAAAGAAYAWQEAAMoFAAAAAA==&#10;">
              <v:fill on="f" focussize="0,0"/>
              <v:stroke on="f" weight="0.5pt"/>
              <v:imagedata o:title=""/>
              <o:lock v:ext="edit" aspectratio="f"/>
              <v:textbox inset="0mm,0mm,0mm,0mm" style="mso-fit-shape-to-text:t;">
                <w:txbxContent>
                  <w:p w14:paraId="18B305DE">
                    <w:pPr>
                      <w:pStyle w:val="5"/>
                      <w:jc w:val="both"/>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4E07B">
    <w:pPr>
      <w:pStyle w:val="5"/>
    </w:pPr>
    <w:r>
      <w:rPr>
        <w:sz w:val="18"/>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6CF244">
                          <w:pPr>
                            <w:pStyle w:val="5"/>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E6CF244">
                    <w:pPr>
                      <w:pStyle w:val="5"/>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86902">
    <w:pPr>
      <w:pStyle w:val="5"/>
    </w:pPr>
    <w:r>
      <w:rPr>
        <w:sz w:val="18"/>
      </w:rPr>
      <mc:AlternateContent>
        <mc:Choice Requires="wps">
          <w:drawing>
            <wp:anchor distT="0" distB="0" distL="114300" distR="114300" simplePos="0" relativeHeight="251661312" behindDoc="0" locked="0" layoutInCell="1" allowOverlap="1">
              <wp:simplePos x="0" y="0"/>
              <wp:positionH relativeFrom="margin">
                <wp:posOffset>-91440</wp:posOffset>
              </wp:positionH>
              <wp:positionV relativeFrom="paragraph">
                <wp:posOffset>-7620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02E456">
                          <w:pPr>
                            <w:pStyle w:val="5"/>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7.2pt;margin-top:-0.6pt;height:144pt;width:144pt;mso-position-horizontal-relative:margin;mso-wrap-style:none;z-index:251661312;mso-width-relative:page;mso-height-relative:page;" filled="f" stroked="f" coordsize="21600,21600" o:gfxdata="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dBixLWAAAACg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14:paraId="4402E456">
                    <w:pPr>
                      <w:pStyle w:val="5"/>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C1DD3">
    <w:pPr>
      <w:pStyle w:val="5"/>
    </w:pPr>
    <w:r>
      <w:rPr>
        <w:sz w:val="18"/>
      </w:rPr>
      <mc:AlternateContent>
        <mc:Choice Requires="wps">
          <w:drawing>
            <wp:anchor distT="0" distB="0" distL="114300" distR="114300" simplePos="0" relativeHeight="251662336" behindDoc="0" locked="0" layoutInCell="1" allowOverlap="1">
              <wp:simplePos x="0" y="0"/>
              <wp:positionH relativeFrom="margin">
                <wp:posOffset>6032500</wp:posOffset>
              </wp:positionH>
              <wp:positionV relativeFrom="paragraph">
                <wp:posOffset>-7620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EC7B9">
                          <w:pPr>
                            <w:pStyle w:val="5"/>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75pt;margin-top:-0.6pt;height:144pt;width:144pt;mso-position-horizontal-relative:margin;mso-wrap-style:none;z-index:251662336;mso-width-relative:page;mso-height-relative:page;" filled="f" stroked="f" coordsize="21600,21600" o:gfxdata="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E2jzbYAAAACwEAAA8AAAAAAAAAAQAgAAAAIgAAAGRycy9kb3ducmV2Lnht&#10;bFBLAQIUABQAAAAIAIdO4kD1i4dkMgIAAGEEAAAOAAAAAAAAAAEAIAAAACcBAABkcnMvZTJvRG9j&#10;LnhtbFBLBQYAAAAABgAGAFkBAADLBQAAAAA=&#10;">
              <v:fill on="f" focussize="0,0"/>
              <v:stroke on="f" weight="0.5pt"/>
              <v:imagedata o:title=""/>
              <o:lock v:ext="edit" aspectratio="f"/>
              <v:textbox inset="0mm,0mm,0mm,0mm" style="mso-fit-shape-to-text:t;">
                <w:txbxContent>
                  <w:p w14:paraId="6AAEC7B9">
                    <w:pPr>
                      <w:pStyle w:val="5"/>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2B4DE">
    <w:pPr>
      <w:widowControl w:val="0"/>
      <w:spacing w:line="1" w:lineRule="exact"/>
    </w:pPr>
    <w:r>
      <w:rPr>
        <w:sz w:val="21"/>
      </w:rPr>
      <mc:AlternateContent>
        <mc:Choice Requires="wps">
          <w:drawing>
            <wp:anchor distT="0" distB="0" distL="114300" distR="114300" simplePos="0" relativeHeight="251663360" behindDoc="0" locked="0" layoutInCell="1" allowOverlap="1">
              <wp:simplePos x="0" y="0"/>
              <wp:positionH relativeFrom="margin">
                <wp:posOffset>37465</wp:posOffset>
              </wp:positionH>
              <wp:positionV relativeFrom="paragraph">
                <wp:posOffset>-137160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CE7D7">
                          <w:pPr>
                            <w:pStyle w:val="5"/>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95pt;margin-top:-10.8pt;height:144pt;width:144pt;mso-position-horizontal-relative:margin;mso-wrap-style:none;z-index:251663360;mso-width-relative:page;mso-height-relative:page;" filled="f" stroked="f" coordsize="21600,21600" o:gfxdata="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9wFuq1wAAAAkBAAAPAAAAAAAAAAEAIAAAACIAAABkcnMvZG93bnJldi54bWxQ&#10;SwECFAAUAAAACACHTuJAqaivlTECAABjBAAADgAAAAAAAAABACAAAAAmAQAAZHJzL2Uyb0RvYy54&#10;bWxQSwUGAAAAAAYABgBZAQAAyQUAAAAA&#10;">
              <v:fill on="f" focussize="0,0"/>
              <v:stroke on="f" weight="0.5pt"/>
              <v:imagedata o:title=""/>
              <o:lock v:ext="edit" aspectratio="f"/>
              <v:textbox inset="0mm,0mm,0mm,0mm" style="mso-fit-shape-to-text:t;">
                <w:txbxContent>
                  <w:p w14:paraId="78ECE7D7">
                    <w:pPr>
                      <w:pStyle w:val="5"/>
                    </w:pPr>
                    <w:r>
                      <w:fldChar w:fldCharType="begin"/>
                    </w:r>
                    <w:r>
                      <w:instrText xml:space="preserve"> PAGE  \* MERGEFORMAT </w:instrText>
                    </w:r>
                    <w:r>
                      <w:fldChar w:fldCharType="separate"/>
                    </w:r>
                    <w:r>
                      <w:t>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3B561">
    <w:pPr>
      <w:pStyle w:val="6"/>
      <w:jc w:val="right"/>
      <w:rPr>
        <w:rFonts w:hint="eastAsia" w:eastAsiaTheme="minorEastAsia"/>
        <w:lang w:val="en-US" w:eastAsia="zh-CN"/>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D6BE8">
    <w:pPr>
      <w:autoSpaceDE w:val="0"/>
      <w:autoSpaceDN w:val="0"/>
      <w:jc w:val="left"/>
      <w:rPr>
        <w:rFonts w:hint="eastAsia"/>
        <w:lang w:eastAsia="zh-CN"/>
      </w:rPr>
    </w:pPr>
    <w:r>
      <w:rPr>
        <w:rFonts w:hint="eastAsia" w:ascii="宋体" w:hAnsi="Times New Roman" w:eastAsia="宋体" w:cs="Times New Roman"/>
        <w:sz w:val="21"/>
        <w:lang w:val="en-US" w:eastAsia="zh-CN" w:bidi="ar-SA"/>
      </w:rPr>
      <w:t>T/CAGHPER 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D9A17">
    <w:pPr>
      <w:pStyle w:val="6"/>
    </w:pPr>
    <w:r>
      <w:rPr>
        <w:rFonts w:hint="eastAsia" w:ascii="宋体" w:hAnsi="宋体" w:eastAsia="宋体" w:cs="宋体"/>
      </w:rPr>
      <w:t>T/TCGHPER 2025—03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48220">
    <w:pPr>
      <w:autoSpaceDE w:val="0"/>
      <w:autoSpaceDN w:val="0"/>
      <w:ind w:firstLine="420" w:firstLineChars="200"/>
      <w:jc w:val="right"/>
    </w:pPr>
    <w:r>
      <w:rPr>
        <w:rFonts w:ascii="宋体" w:hAnsi="Times New Roman" w:eastAsia="宋体" w:cs="Times New Roman"/>
        <w:sz w:val="21"/>
        <w:lang w:val="en-US" w:eastAsia="zh-CN" w:bidi="ar-SA"/>
      </w:rPr>
      <w:t>T/</w:t>
    </w:r>
    <w:r>
      <w:rPr>
        <w:rFonts w:hint="eastAsia" w:ascii="宋体" w:hAnsi="Times New Roman" w:eastAsia="宋体" w:cs="Times New Roman"/>
        <w:sz w:val="21"/>
        <w:lang w:val="en-US" w:eastAsia="zh-CN" w:bidi="ar-SA"/>
      </w:rPr>
      <w:t>CAGHPER 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F72D5">
    <w:pPr>
      <w:autoSpaceDE w:val="0"/>
      <w:autoSpaceDN w:val="0"/>
      <w:jc w:val="left"/>
      <w:rPr>
        <w:rFonts w:hint="eastAsia"/>
        <w:lang w:val="en-US" w:eastAsia="zh-CN"/>
      </w:rPr>
    </w:pPr>
    <w:r>
      <w:rPr>
        <w:rFonts w:ascii="宋体" w:hAnsi="Times New Roman" w:eastAsia="宋体" w:cs="Times New Roman"/>
        <w:sz w:val="21"/>
        <w:lang w:val="en-US" w:eastAsia="zh-CN" w:bidi="ar-SA"/>
      </w:rPr>
      <w:t>T/</w:t>
    </w:r>
    <w:r>
      <w:rPr>
        <w:rFonts w:hint="eastAsia" w:ascii="宋体" w:hAnsi="Times New Roman" w:eastAsia="宋体" w:cs="Times New Roman"/>
        <w:sz w:val="21"/>
        <w:lang w:val="en-US" w:eastAsia="zh-CN" w:bidi="ar-SA"/>
      </w:rPr>
      <w:t>CAGHPER 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1C5CA">
    <w:pPr>
      <w:pStyle w:val="6"/>
      <w:jc w:val="right"/>
      <w:rPr>
        <w:rFonts w:hint="eastAsia" w:eastAsiaTheme="minorEastAsia"/>
        <w:lang w:eastAsia="zh-CN"/>
      </w:rPr>
    </w:pPr>
    <w:r>
      <w:rPr>
        <w:rFonts w:hint="eastAsia" w:ascii="宋体" w:hAnsi="宋体" w:eastAsia="宋体" w:cs="宋体"/>
        <w:lang w:eastAsia="zh-CN"/>
      </w:rPr>
      <w:t>T/CAGHPER 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38323">
    <w:pPr>
      <w:autoSpaceDE w:val="0"/>
      <w:autoSpaceDN w:val="0"/>
      <w:jc w:val="righ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T/CAGHPER XXX—XXXX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4594E">
    <w:pPr>
      <w:autoSpaceDE w:val="0"/>
      <w:autoSpaceDN w:val="0"/>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T/CAGHPER XXX—XXXX</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16607">
    <w:pPr>
      <w:widowControl w:val="0"/>
      <w:spacing w:line="1" w:lineRule="exact"/>
      <w:rPr>
        <w:rFonts w:hint="eastAsia" w:eastAsiaTheme="minorEastAsia"/>
        <w:lang w:eastAsia="zh-CN"/>
      </w:rPr>
    </w:pPr>
    <w:r>
      <w:rPr>
        <w:rFonts w:hint="eastAsia" w:ascii="宋体" w:hAnsi="宋体" w:eastAsia="宋体" w:cs="宋体"/>
        <w:lang w:eastAsia="zh-CN"/>
      </w:rPr>
      <w:t>T/CAGHPER XXX—XXXX</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61B7B">
    <w:pPr>
      <w:autoSpaceDE w:val="0"/>
      <w:autoSpaceDN w:val="0"/>
      <w:jc w:val="righ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T/CAGHPER XXX—XXXX</w:t>
    </w:r>
  </w:p>
  <w:p w14:paraId="5162E9D8">
    <w:pPr>
      <w:widowControl w:val="0"/>
      <w:spacing w:line="1" w:lineRule="exact"/>
      <w:rPr>
        <w:rFonts w:hint="eastAsia" w:eastAsiaTheme="minor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49"/>
      <w:suff w:val="nothing"/>
      <w:lvlText w:val="注%1："/>
      <w:lvlJc w:val="left"/>
      <w:pPr>
        <w:ind w:left="811" w:hanging="448"/>
      </w:pPr>
      <w:rPr>
        <w:rFonts w:hint="eastAsia" w:ascii="黑体" w:hAns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DDE2B46"/>
    <w:multiLevelType w:val="multilevel"/>
    <w:tmpl w:val="0DDE2B46"/>
    <w:lvl w:ilvl="0" w:tentative="0">
      <w:start w:val="1"/>
      <w:numFmt w:val="lowerLetter"/>
      <w:pStyle w:val="51"/>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2">
    <w:nsid w:val="1FC91163"/>
    <w:multiLevelType w:val="multilevel"/>
    <w:tmpl w:val="1FC91163"/>
    <w:lvl w:ilvl="0" w:tentative="0">
      <w:start w:val="1"/>
      <w:numFmt w:val="decimal"/>
      <w:pStyle w:val="35"/>
      <w:suff w:val="nothing"/>
      <w:lvlText w:val="%1　"/>
      <w:lvlJc w:val="left"/>
      <w:pPr>
        <w:ind w:left="0" w:firstLine="0"/>
      </w:pPr>
      <w:rPr>
        <w:rFonts w:hint="default" w:ascii="黑体" w:hAnsi="Times New Roman" w:eastAsia="黑体"/>
        <w:b w:val="0"/>
        <w:bCs w:val="0"/>
        <w:i w:val="0"/>
        <w:sz w:val="21"/>
        <w:szCs w:val="21"/>
      </w:rPr>
    </w:lvl>
    <w:lvl w:ilvl="1" w:tentative="0">
      <w:start w:val="1"/>
      <w:numFmt w:val="decimal"/>
      <w:pStyle w:val="36"/>
      <w:suff w:val="nothing"/>
      <w:lvlText w:val="%1.%2　"/>
      <w:lvlJc w:val="left"/>
      <w:pPr>
        <w:ind w:left="0" w:firstLine="0"/>
      </w:pPr>
      <w:rPr>
        <w:rFonts w:hint="default"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40"/>
      <w:suff w:val="nothing"/>
      <w:lvlText w:val="%1.%2.%3　"/>
      <w:lvlJc w:val="left"/>
      <w:pPr>
        <w:ind w:left="0" w:firstLine="0"/>
      </w:pPr>
      <w:rPr>
        <w:rFonts w:hint="default" w:ascii="黑体" w:hAnsi="Times New Roman" w:eastAsia="黑体"/>
        <w:b w:val="0"/>
        <w:bCs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A8F7113"/>
    <w:multiLevelType w:val="multilevel"/>
    <w:tmpl w:val="2A8F7113"/>
    <w:lvl w:ilvl="0" w:tentative="0">
      <w:start w:val="1"/>
      <w:numFmt w:val="upperLetter"/>
      <w:pStyle w:val="44"/>
      <w:suff w:val="space"/>
      <w:lvlText w:val="%1"/>
      <w:lvlJc w:val="left"/>
      <w:pPr>
        <w:ind w:left="623" w:hanging="425"/>
      </w:pPr>
      <w:rPr>
        <w:rFonts w:hint="eastAsia"/>
      </w:rPr>
    </w:lvl>
    <w:lvl w:ilvl="1" w:tentative="0">
      <w:start w:val="1"/>
      <w:numFmt w:val="decimal"/>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4">
    <w:nsid w:val="44C50F90"/>
    <w:multiLevelType w:val="multilevel"/>
    <w:tmpl w:val="44C50F90"/>
    <w:lvl w:ilvl="0" w:tentative="0">
      <w:start w:val="1"/>
      <w:numFmt w:val="lowerLetter"/>
      <w:pStyle w:val="42"/>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43"/>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5">
    <w:nsid w:val="557C2AF5"/>
    <w:multiLevelType w:val="multilevel"/>
    <w:tmpl w:val="557C2AF5"/>
    <w:lvl w:ilvl="0" w:tentative="0">
      <w:start w:val="1"/>
      <w:numFmt w:val="decimal"/>
      <w:pStyle w:val="5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60B55DC2"/>
    <w:multiLevelType w:val="multilevel"/>
    <w:tmpl w:val="60B55DC2"/>
    <w:lvl w:ilvl="0" w:tentative="0">
      <w:start w:val="1"/>
      <w:numFmt w:val="upperLetter"/>
      <w:pStyle w:val="45"/>
      <w:lvlText w:val="%1"/>
      <w:lvlJc w:val="left"/>
      <w:pPr>
        <w:tabs>
          <w:tab w:val="left" w:pos="0"/>
        </w:tabs>
        <w:ind w:left="0" w:hanging="425"/>
      </w:pPr>
      <w:rPr>
        <w:rFonts w:hint="eastAsia"/>
      </w:rPr>
    </w:lvl>
    <w:lvl w:ilvl="1" w:tentative="0">
      <w:start w:val="1"/>
      <w:numFmt w:val="decimal"/>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7">
    <w:nsid w:val="646260FA"/>
    <w:multiLevelType w:val="multilevel"/>
    <w:tmpl w:val="646260FA"/>
    <w:lvl w:ilvl="0" w:tentative="0">
      <w:start w:val="1"/>
      <w:numFmt w:val="decimal"/>
      <w:pStyle w:val="48"/>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8">
    <w:nsid w:val="657D3FBC"/>
    <w:multiLevelType w:val="multilevel"/>
    <w:tmpl w:val="657D3FBC"/>
    <w:lvl w:ilvl="0" w:tentative="0">
      <w:start w:val="1"/>
      <w:numFmt w:val="upperLetter"/>
      <w:pStyle w:val="46"/>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47"/>
      <w:suff w:val="nothing"/>
      <w:lvlText w:val="%1.%2　"/>
      <w:lvlJc w:val="left"/>
      <w:pPr>
        <w:ind w:left="42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DBF04F4"/>
    <w:multiLevelType w:val="multilevel"/>
    <w:tmpl w:val="6DBF04F4"/>
    <w:lvl w:ilvl="0" w:tentative="0">
      <w:start w:val="1"/>
      <w:numFmt w:val="none"/>
      <w:pStyle w:val="38"/>
      <w:suff w:val="nothing"/>
      <w:lvlText w:val="%1注："/>
      <w:lvlJc w:val="left"/>
      <w:pPr>
        <w:ind w:left="931" w:hanging="363"/>
      </w:pPr>
      <w:rPr>
        <w:rFonts w:hint="eastAsia" w:ascii="黑体" w:hAnsi="Times New Roman" w:eastAsia="黑体"/>
        <w:b w:val="0"/>
        <w:i w:val="0"/>
        <w:sz w:val="18"/>
      </w:rPr>
    </w:lvl>
    <w:lvl w:ilvl="1" w:tentative="0">
      <w:start w:val="1"/>
      <w:numFmt w:val="lowerLetter"/>
      <w:lvlText w:val="%2)"/>
      <w:lvlJc w:val="left"/>
      <w:pPr>
        <w:tabs>
          <w:tab w:val="left" w:pos="1345"/>
        </w:tabs>
        <w:ind w:left="931" w:hanging="363"/>
      </w:pPr>
      <w:rPr>
        <w:rFonts w:hint="eastAsia"/>
      </w:rPr>
    </w:lvl>
    <w:lvl w:ilvl="2" w:tentative="0">
      <w:start w:val="1"/>
      <w:numFmt w:val="lowerRoman"/>
      <w:lvlText w:val="%3."/>
      <w:lvlJc w:val="right"/>
      <w:pPr>
        <w:tabs>
          <w:tab w:val="left" w:pos="1345"/>
        </w:tabs>
        <w:ind w:left="931" w:hanging="363"/>
      </w:pPr>
      <w:rPr>
        <w:rFonts w:hint="eastAsia"/>
      </w:rPr>
    </w:lvl>
    <w:lvl w:ilvl="3" w:tentative="0">
      <w:start w:val="1"/>
      <w:numFmt w:val="decimal"/>
      <w:lvlText w:val="%4."/>
      <w:lvlJc w:val="left"/>
      <w:pPr>
        <w:tabs>
          <w:tab w:val="left" w:pos="1345"/>
        </w:tabs>
        <w:ind w:left="931" w:hanging="363"/>
      </w:pPr>
      <w:rPr>
        <w:rFonts w:hint="eastAsia"/>
      </w:rPr>
    </w:lvl>
    <w:lvl w:ilvl="4" w:tentative="0">
      <w:start w:val="1"/>
      <w:numFmt w:val="lowerLetter"/>
      <w:lvlText w:val="%5)"/>
      <w:lvlJc w:val="left"/>
      <w:pPr>
        <w:tabs>
          <w:tab w:val="left" w:pos="1345"/>
        </w:tabs>
        <w:ind w:left="931" w:hanging="363"/>
      </w:pPr>
      <w:rPr>
        <w:rFonts w:hint="eastAsia"/>
      </w:rPr>
    </w:lvl>
    <w:lvl w:ilvl="5" w:tentative="0">
      <w:start w:val="1"/>
      <w:numFmt w:val="lowerRoman"/>
      <w:lvlText w:val="%6."/>
      <w:lvlJc w:val="right"/>
      <w:pPr>
        <w:tabs>
          <w:tab w:val="left" w:pos="1345"/>
        </w:tabs>
        <w:ind w:left="931" w:hanging="363"/>
      </w:pPr>
      <w:rPr>
        <w:rFonts w:hint="eastAsia"/>
      </w:rPr>
    </w:lvl>
    <w:lvl w:ilvl="6" w:tentative="0">
      <w:start w:val="1"/>
      <w:numFmt w:val="decimal"/>
      <w:lvlText w:val="%7."/>
      <w:lvlJc w:val="left"/>
      <w:pPr>
        <w:tabs>
          <w:tab w:val="left" w:pos="1345"/>
        </w:tabs>
        <w:ind w:left="931" w:hanging="363"/>
      </w:pPr>
      <w:rPr>
        <w:rFonts w:hint="eastAsia"/>
      </w:rPr>
    </w:lvl>
    <w:lvl w:ilvl="7" w:tentative="0">
      <w:start w:val="1"/>
      <w:numFmt w:val="lowerLetter"/>
      <w:lvlText w:val="%8)"/>
      <w:lvlJc w:val="left"/>
      <w:pPr>
        <w:tabs>
          <w:tab w:val="left" w:pos="1345"/>
        </w:tabs>
        <w:ind w:left="931" w:hanging="363"/>
      </w:pPr>
      <w:rPr>
        <w:rFonts w:hint="eastAsia"/>
      </w:rPr>
    </w:lvl>
    <w:lvl w:ilvl="8" w:tentative="0">
      <w:start w:val="1"/>
      <w:numFmt w:val="lowerRoman"/>
      <w:lvlText w:val="%9."/>
      <w:lvlJc w:val="right"/>
      <w:pPr>
        <w:tabs>
          <w:tab w:val="left" w:pos="1345"/>
        </w:tabs>
        <w:ind w:left="931" w:hanging="363"/>
      </w:pPr>
      <w:rPr>
        <w:rFonts w:hint="eastAsia"/>
      </w:rPr>
    </w:lvl>
  </w:abstractNum>
  <w:num w:numId="1">
    <w:abstractNumId w:val="7"/>
  </w:num>
  <w:num w:numId="2">
    <w:abstractNumId w:val="2"/>
  </w:num>
  <w:num w:numId="3">
    <w:abstractNumId w:val="9"/>
  </w:num>
  <w:num w:numId="4">
    <w:abstractNumId w:val="4"/>
  </w:num>
  <w:num w:numId="5">
    <w:abstractNumId w:val="3"/>
  </w:num>
  <w:num w:numId="6">
    <w:abstractNumId w:val="6"/>
  </w:num>
  <w:num w:numId="7">
    <w:abstractNumId w:val="8"/>
  </w:num>
  <w:num w:numId="8">
    <w:abstractNumId w:val="0"/>
  </w:num>
  <w:num w:numId="9">
    <w:abstractNumId w:val="5"/>
  </w:num>
  <w:num w:numId="10">
    <w:abstractNumId w:val="1"/>
  </w:num>
  <w:num w:numId="11">
    <w:abstractNumId w:val="0"/>
    <w:lvlOverride w:ilvl="0">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evenAndOddHeaders w:val="1"/>
  <w:drawingGridHorizontalSpacing w:val="21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YmQwNWIxNGNjODFjMjQ5MjM2NDVhNWZjNzBmMzAifQ=="/>
  </w:docVars>
  <w:rsids>
    <w:rsidRoot w:val="00000000"/>
    <w:rsid w:val="006C49A3"/>
    <w:rsid w:val="007E4CA5"/>
    <w:rsid w:val="009269A2"/>
    <w:rsid w:val="00C528D4"/>
    <w:rsid w:val="00FA5C1F"/>
    <w:rsid w:val="01205D5C"/>
    <w:rsid w:val="019F1377"/>
    <w:rsid w:val="01FF7191"/>
    <w:rsid w:val="021E49A6"/>
    <w:rsid w:val="02300221"/>
    <w:rsid w:val="02EB239A"/>
    <w:rsid w:val="02F85B01"/>
    <w:rsid w:val="03041155"/>
    <w:rsid w:val="038F71C9"/>
    <w:rsid w:val="039931C3"/>
    <w:rsid w:val="04682620"/>
    <w:rsid w:val="04AA6493"/>
    <w:rsid w:val="04E55633"/>
    <w:rsid w:val="0505246F"/>
    <w:rsid w:val="0557607E"/>
    <w:rsid w:val="05BB08C4"/>
    <w:rsid w:val="06383FAD"/>
    <w:rsid w:val="063E0A32"/>
    <w:rsid w:val="06523C1B"/>
    <w:rsid w:val="06863D18"/>
    <w:rsid w:val="069845E6"/>
    <w:rsid w:val="069D5444"/>
    <w:rsid w:val="06A255AB"/>
    <w:rsid w:val="06CD368B"/>
    <w:rsid w:val="06F71625"/>
    <w:rsid w:val="0744651C"/>
    <w:rsid w:val="07710EBD"/>
    <w:rsid w:val="07E63136"/>
    <w:rsid w:val="08142476"/>
    <w:rsid w:val="08597DA5"/>
    <w:rsid w:val="08C36617"/>
    <w:rsid w:val="08EC29C7"/>
    <w:rsid w:val="097E5691"/>
    <w:rsid w:val="0A081A83"/>
    <w:rsid w:val="0A291FD5"/>
    <w:rsid w:val="0A447E10"/>
    <w:rsid w:val="0A5E16A3"/>
    <w:rsid w:val="0B0E441E"/>
    <w:rsid w:val="0B3B0318"/>
    <w:rsid w:val="0BA41506"/>
    <w:rsid w:val="0BBD04ED"/>
    <w:rsid w:val="0C6D22A1"/>
    <w:rsid w:val="0CA23AC9"/>
    <w:rsid w:val="0CCA3020"/>
    <w:rsid w:val="0D151EEE"/>
    <w:rsid w:val="0D263430"/>
    <w:rsid w:val="0D395080"/>
    <w:rsid w:val="0D3E3D88"/>
    <w:rsid w:val="0DB56BD2"/>
    <w:rsid w:val="0E200B8D"/>
    <w:rsid w:val="0E206AF5"/>
    <w:rsid w:val="0E230C39"/>
    <w:rsid w:val="0E872788"/>
    <w:rsid w:val="0EAD0265"/>
    <w:rsid w:val="0EC266A4"/>
    <w:rsid w:val="0ED26F1F"/>
    <w:rsid w:val="0EE1215E"/>
    <w:rsid w:val="0EFC3C01"/>
    <w:rsid w:val="0F1113DA"/>
    <w:rsid w:val="0F1150F3"/>
    <w:rsid w:val="0FBE191F"/>
    <w:rsid w:val="0FE963AA"/>
    <w:rsid w:val="10022AD1"/>
    <w:rsid w:val="10054BB6"/>
    <w:rsid w:val="100E7EE7"/>
    <w:rsid w:val="10B842D9"/>
    <w:rsid w:val="10F44B0F"/>
    <w:rsid w:val="11157A68"/>
    <w:rsid w:val="112C42A9"/>
    <w:rsid w:val="114E0D73"/>
    <w:rsid w:val="12170AB5"/>
    <w:rsid w:val="1270735E"/>
    <w:rsid w:val="12BC7420"/>
    <w:rsid w:val="12C24B4D"/>
    <w:rsid w:val="12CF5113"/>
    <w:rsid w:val="135F6F3D"/>
    <w:rsid w:val="1379754E"/>
    <w:rsid w:val="13B642FE"/>
    <w:rsid w:val="140D6614"/>
    <w:rsid w:val="145B1A61"/>
    <w:rsid w:val="14A54A6E"/>
    <w:rsid w:val="14EA425F"/>
    <w:rsid w:val="15147141"/>
    <w:rsid w:val="154A7E57"/>
    <w:rsid w:val="1557090F"/>
    <w:rsid w:val="15747BF8"/>
    <w:rsid w:val="15804BC3"/>
    <w:rsid w:val="15B900D5"/>
    <w:rsid w:val="15C917C1"/>
    <w:rsid w:val="15CB2D95"/>
    <w:rsid w:val="16935CF7"/>
    <w:rsid w:val="16D36F75"/>
    <w:rsid w:val="17397720"/>
    <w:rsid w:val="185E6AEF"/>
    <w:rsid w:val="18626802"/>
    <w:rsid w:val="18C251E4"/>
    <w:rsid w:val="18E831AB"/>
    <w:rsid w:val="19082C0E"/>
    <w:rsid w:val="199306BA"/>
    <w:rsid w:val="1A491A28"/>
    <w:rsid w:val="1A4974B5"/>
    <w:rsid w:val="1A9C42D8"/>
    <w:rsid w:val="1B2035BF"/>
    <w:rsid w:val="1B325F30"/>
    <w:rsid w:val="1B652214"/>
    <w:rsid w:val="1B6C14DF"/>
    <w:rsid w:val="1BAA0BEC"/>
    <w:rsid w:val="1BDC38F3"/>
    <w:rsid w:val="1C1A2CFC"/>
    <w:rsid w:val="1C44694B"/>
    <w:rsid w:val="1CA01885"/>
    <w:rsid w:val="1CE47591"/>
    <w:rsid w:val="1DA90A2F"/>
    <w:rsid w:val="1DAB2047"/>
    <w:rsid w:val="1E03496A"/>
    <w:rsid w:val="1E0E1308"/>
    <w:rsid w:val="1E1869EE"/>
    <w:rsid w:val="1EC024D4"/>
    <w:rsid w:val="1ED77A58"/>
    <w:rsid w:val="1F093E7B"/>
    <w:rsid w:val="1F0F5BEF"/>
    <w:rsid w:val="1F2C310D"/>
    <w:rsid w:val="1F4629DA"/>
    <w:rsid w:val="1F525822"/>
    <w:rsid w:val="1F6D4006"/>
    <w:rsid w:val="200824BA"/>
    <w:rsid w:val="20404FF0"/>
    <w:rsid w:val="204053B6"/>
    <w:rsid w:val="205905F7"/>
    <w:rsid w:val="20B83463"/>
    <w:rsid w:val="20BA2452"/>
    <w:rsid w:val="21087AED"/>
    <w:rsid w:val="21352D06"/>
    <w:rsid w:val="216514DD"/>
    <w:rsid w:val="2173382E"/>
    <w:rsid w:val="21DD67F8"/>
    <w:rsid w:val="21EE732A"/>
    <w:rsid w:val="223E74B8"/>
    <w:rsid w:val="22561829"/>
    <w:rsid w:val="226904D1"/>
    <w:rsid w:val="22FA7189"/>
    <w:rsid w:val="2312327F"/>
    <w:rsid w:val="23913CB1"/>
    <w:rsid w:val="23BD1E16"/>
    <w:rsid w:val="23D5424E"/>
    <w:rsid w:val="24B50850"/>
    <w:rsid w:val="24DD5B8E"/>
    <w:rsid w:val="251750F9"/>
    <w:rsid w:val="25551BC9"/>
    <w:rsid w:val="255D282B"/>
    <w:rsid w:val="257302A1"/>
    <w:rsid w:val="25C84D0C"/>
    <w:rsid w:val="25D05F7B"/>
    <w:rsid w:val="262D01F1"/>
    <w:rsid w:val="26A10E3D"/>
    <w:rsid w:val="26E67D81"/>
    <w:rsid w:val="275B1F4F"/>
    <w:rsid w:val="27675BE3"/>
    <w:rsid w:val="279A75F6"/>
    <w:rsid w:val="27AC6B8A"/>
    <w:rsid w:val="27B801ED"/>
    <w:rsid w:val="28A40771"/>
    <w:rsid w:val="29157ACC"/>
    <w:rsid w:val="29D1728F"/>
    <w:rsid w:val="29E96F33"/>
    <w:rsid w:val="2A0F07CB"/>
    <w:rsid w:val="2A1C7342"/>
    <w:rsid w:val="2A6A3317"/>
    <w:rsid w:val="2A9A007E"/>
    <w:rsid w:val="2AC128C0"/>
    <w:rsid w:val="2B2C5607"/>
    <w:rsid w:val="2B9E4173"/>
    <w:rsid w:val="2C637341"/>
    <w:rsid w:val="2D0B40ED"/>
    <w:rsid w:val="2D4F33A1"/>
    <w:rsid w:val="2D720E3E"/>
    <w:rsid w:val="2D9F7D4A"/>
    <w:rsid w:val="2DFB781B"/>
    <w:rsid w:val="2E291E44"/>
    <w:rsid w:val="2E38108F"/>
    <w:rsid w:val="2E532A1D"/>
    <w:rsid w:val="2E5611EA"/>
    <w:rsid w:val="2E751121"/>
    <w:rsid w:val="2EC2236F"/>
    <w:rsid w:val="2EFC30B5"/>
    <w:rsid w:val="30676C54"/>
    <w:rsid w:val="308B0B94"/>
    <w:rsid w:val="30D342E9"/>
    <w:rsid w:val="30DA3DB5"/>
    <w:rsid w:val="313E4873"/>
    <w:rsid w:val="315A0567"/>
    <w:rsid w:val="319079D2"/>
    <w:rsid w:val="321751D2"/>
    <w:rsid w:val="32851613"/>
    <w:rsid w:val="329D4667"/>
    <w:rsid w:val="32D64FDE"/>
    <w:rsid w:val="332E5807"/>
    <w:rsid w:val="33584299"/>
    <w:rsid w:val="33F22CD8"/>
    <w:rsid w:val="343432F1"/>
    <w:rsid w:val="34BC3AE8"/>
    <w:rsid w:val="34C603ED"/>
    <w:rsid w:val="34D61C7F"/>
    <w:rsid w:val="34E05B38"/>
    <w:rsid w:val="34E73968"/>
    <w:rsid w:val="354A7666"/>
    <w:rsid w:val="357A1680"/>
    <w:rsid w:val="35852545"/>
    <w:rsid w:val="35BB02B5"/>
    <w:rsid w:val="35DA1C76"/>
    <w:rsid w:val="36056CF3"/>
    <w:rsid w:val="365C3C11"/>
    <w:rsid w:val="368A71F8"/>
    <w:rsid w:val="369E0EF6"/>
    <w:rsid w:val="36EA326B"/>
    <w:rsid w:val="37217B5C"/>
    <w:rsid w:val="372C6501"/>
    <w:rsid w:val="373D24BC"/>
    <w:rsid w:val="37453089"/>
    <w:rsid w:val="37797999"/>
    <w:rsid w:val="37887BDC"/>
    <w:rsid w:val="378F7A5A"/>
    <w:rsid w:val="37EB6EA4"/>
    <w:rsid w:val="38262EF3"/>
    <w:rsid w:val="38341B11"/>
    <w:rsid w:val="38417D8A"/>
    <w:rsid w:val="38B844F1"/>
    <w:rsid w:val="391E49EA"/>
    <w:rsid w:val="393D3948"/>
    <w:rsid w:val="397924F9"/>
    <w:rsid w:val="398E66F0"/>
    <w:rsid w:val="39B20FC8"/>
    <w:rsid w:val="39E15381"/>
    <w:rsid w:val="3A8221D7"/>
    <w:rsid w:val="3A920D71"/>
    <w:rsid w:val="3AA23F50"/>
    <w:rsid w:val="3AC206BF"/>
    <w:rsid w:val="3B3B4F65"/>
    <w:rsid w:val="3C3F4C53"/>
    <w:rsid w:val="3C9070E7"/>
    <w:rsid w:val="3CAE54EA"/>
    <w:rsid w:val="3CC16563"/>
    <w:rsid w:val="3CD92EE6"/>
    <w:rsid w:val="3CDD3412"/>
    <w:rsid w:val="3CF01DB1"/>
    <w:rsid w:val="3D1735FE"/>
    <w:rsid w:val="3D3A3EDF"/>
    <w:rsid w:val="3D693510"/>
    <w:rsid w:val="3DA60B4B"/>
    <w:rsid w:val="3DC763F0"/>
    <w:rsid w:val="3DE067E3"/>
    <w:rsid w:val="3DEB12B6"/>
    <w:rsid w:val="3DFA1DAE"/>
    <w:rsid w:val="3E430ED9"/>
    <w:rsid w:val="3E720C9E"/>
    <w:rsid w:val="3E7F0DEB"/>
    <w:rsid w:val="3E88637B"/>
    <w:rsid w:val="3EC6100D"/>
    <w:rsid w:val="3ED953A4"/>
    <w:rsid w:val="3F4E170B"/>
    <w:rsid w:val="3F56236D"/>
    <w:rsid w:val="3F6820A1"/>
    <w:rsid w:val="3F920872"/>
    <w:rsid w:val="3F9614BE"/>
    <w:rsid w:val="3FD52C52"/>
    <w:rsid w:val="3FD6788B"/>
    <w:rsid w:val="3FFD4EDF"/>
    <w:rsid w:val="401144E6"/>
    <w:rsid w:val="40336ED6"/>
    <w:rsid w:val="403F5EBC"/>
    <w:rsid w:val="404448BC"/>
    <w:rsid w:val="41091A8F"/>
    <w:rsid w:val="410F0A26"/>
    <w:rsid w:val="41405083"/>
    <w:rsid w:val="418D13E5"/>
    <w:rsid w:val="41E73751"/>
    <w:rsid w:val="42114C4C"/>
    <w:rsid w:val="42367173"/>
    <w:rsid w:val="42440BA3"/>
    <w:rsid w:val="42721A4E"/>
    <w:rsid w:val="42870A90"/>
    <w:rsid w:val="429D6505"/>
    <w:rsid w:val="42BC698B"/>
    <w:rsid w:val="42DE4B54"/>
    <w:rsid w:val="42F75C15"/>
    <w:rsid w:val="435C18E8"/>
    <w:rsid w:val="439B2A45"/>
    <w:rsid w:val="43BD5855"/>
    <w:rsid w:val="440A4DD0"/>
    <w:rsid w:val="44654E01"/>
    <w:rsid w:val="44844FD2"/>
    <w:rsid w:val="44D770C5"/>
    <w:rsid w:val="451E5119"/>
    <w:rsid w:val="45795008"/>
    <w:rsid w:val="45F02916"/>
    <w:rsid w:val="464F7B16"/>
    <w:rsid w:val="469A50E5"/>
    <w:rsid w:val="46CA4783"/>
    <w:rsid w:val="46FA5CD4"/>
    <w:rsid w:val="472D6840"/>
    <w:rsid w:val="47435EAB"/>
    <w:rsid w:val="478D2D59"/>
    <w:rsid w:val="479003E6"/>
    <w:rsid w:val="47DC0816"/>
    <w:rsid w:val="483563B1"/>
    <w:rsid w:val="48993606"/>
    <w:rsid w:val="48B452E0"/>
    <w:rsid w:val="48BF21F6"/>
    <w:rsid w:val="49044BE8"/>
    <w:rsid w:val="49055CF4"/>
    <w:rsid w:val="491B57D4"/>
    <w:rsid w:val="492E435B"/>
    <w:rsid w:val="497F2B56"/>
    <w:rsid w:val="49DF11B1"/>
    <w:rsid w:val="49E32CDC"/>
    <w:rsid w:val="4A600544"/>
    <w:rsid w:val="4AB253A0"/>
    <w:rsid w:val="4B0A12D3"/>
    <w:rsid w:val="4B17264B"/>
    <w:rsid w:val="4B2452A6"/>
    <w:rsid w:val="4B404726"/>
    <w:rsid w:val="4B6127C6"/>
    <w:rsid w:val="4B840262"/>
    <w:rsid w:val="4BBF4D61"/>
    <w:rsid w:val="4BEA27BB"/>
    <w:rsid w:val="4BFC24EE"/>
    <w:rsid w:val="4C187E5D"/>
    <w:rsid w:val="4C771B75"/>
    <w:rsid w:val="4C9444D5"/>
    <w:rsid w:val="4CB86415"/>
    <w:rsid w:val="4CF423F2"/>
    <w:rsid w:val="4CFB27A6"/>
    <w:rsid w:val="4D1B4BF6"/>
    <w:rsid w:val="4D260FE9"/>
    <w:rsid w:val="4D2C6A1E"/>
    <w:rsid w:val="4D5F0F87"/>
    <w:rsid w:val="4D68085E"/>
    <w:rsid w:val="4D984543"/>
    <w:rsid w:val="4DA1334D"/>
    <w:rsid w:val="4DC4528E"/>
    <w:rsid w:val="4E1A6C5C"/>
    <w:rsid w:val="4E941852"/>
    <w:rsid w:val="4E9B4A90"/>
    <w:rsid w:val="4F5E5943"/>
    <w:rsid w:val="4F9A0054"/>
    <w:rsid w:val="4FA252B3"/>
    <w:rsid w:val="4FC3053B"/>
    <w:rsid w:val="5044001C"/>
    <w:rsid w:val="50A36F4A"/>
    <w:rsid w:val="50B213CE"/>
    <w:rsid w:val="50C0233D"/>
    <w:rsid w:val="515A3F3F"/>
    <w:rsid w:val="517B4CCE"/>
    <w:rsid w:val="519D207E"/>
    <w:rsid w:val="51C241AB"/>
    <w:rsid w:val="51F7500B"/>
    <w:rsid w:val="522344E6"/>
    <w:rsid w:val="52343A03"/>
    <w:rsid w:val="52391DA6"/>
    <w:rsid w:val="52C56764"/>
    <w:rsid w:val="531814A2"/>
    <w:rsid w:val="536A5F90"/>
    <w:rsid w:val="53887BE2"/>
    <w:rsid w:val="5390630D"/>
    <w:rsid w:val="540B0385"/>
    <w:rsid w:val="540D38F6"/>
    <w:rsid w:val="54423B08"/>
    <w:rsid w:val="54591B7B"/>
    <w:rsid w:val="54C73E7A"/>
    <w:rsid w:val="557E3F74"/>
    <w:rsid w:val="558B763C"/>
    <w:rsid w:val="558E479E"/>
    <w:rsid w:val="55CE0A58"/>
    <w:rsid w:val="55F02ABA"/>
    <w:rsid w:val="56261371"/>
    <w:rsid w:val="56674A08"/>
    <w:rsid w:val="56B81F29"/>
    <w:rsid w:val="56DB6D2F"/>
    <w:rsid w:val="57332714"/>
    <w:rsid w:val="576177BA"/>
    <w:rsid w:val="58647451"/>
    <w:rsid w:val="58AC3C5E"/>
    <w:rsid w:val="58E50166"/>
    <w:rsid w:val="59DB3E00"/>
    <w:rsid w:val="59E1581E"/>
    <w:rsid w:val="59F24D23"/>
    <w:rsid w:val="59FD783A"/>
    <w:rsid w:val="5A261ECE"/>
    <w:rsid w:val="5A56726E"/>
    <w:rsid w:val="5AE76118"/>
    <w:rsid w:val="5B1038C0"/>
    <w:rsid w:val="5B562712"/>
    <w:rsid w:val="5B9B16D3"/>
    <w:rsid w:val="5C391A9C"/>
    <w:rsid w:val="5CB0535B"/>
    <w:rsid w:val="5CD8683C"/>
    <w:rsid w:val="5D1458EA"/>
    <w:rsid w:val="5DB156FE"/>
    <w:rsid w:val="5DD24E5D"/>
    <w:rsid w:val="5DEA61B8"/>
    <w:rsid w:val="5DF8493A"/>
    <w:rsid w:val="5E2751A9"/>
    <w:rsid w:val="5E3D0F61"/>
    <w:rsid w:val="5E9A1E1F"/>
    <w:rsid w:val="5EC450EE"/>
    <w:rsid w:val="5EC56770"/>
    <w:rsid w:val="5ED62D11"/>
    <w:rsid w:val="5EFD2476"/>
    <w:rsid w:val="5F0F12C4"/>
    <w:rsid w:val="5F3202A9"/>
    <w:rsid w:val="5FCA04E2"/>
    <w:rsid w:val="5FE71E21"/>
    <w:rsid w:val="600532C8"/>
    <w:rsid w:val="600A4D82"/>
    <w:rsid w:val="600B4656"/>
    <w:rsid w:val="601F108D"/>
    <w:rsid w:val="60477D84"/>
    <w:rsid w:val="608830A8"/>
    <w:rsid w:val="619C3098"/>
    <w:rsid w:val="62A52B4E"/>
    <w:rsid w:val="62E21B7D"/>
    <w:rsid w:val="62E33669"/>
    <w:rsid w:val="63C27722"/>
    <w:rsid w:val="64590086"/>
    <w:rsid w:val="646D0FBD"/>
    <w:rsid w:val="64B90B25"/>
    <w:rsid w:val="64C76D65"/>
    <w:rsid w:val="65017F25"/>
    <w:rsid w:val="6567317D"/>
    <w:rsid w:val="65680364"/>
    <w:rsid w:val="657447EF"/>
    <w:rsid w:val="658F52CA"/>
    <w:rsid w:val="65A15292"/>
    <w:rsid w:val="65B65064"/>
    <w:rsid w:val="66214BD4"/>
    <w:rsid w:val="6682703B"/>
    <w:rsid w:val="66D103A8"/>
    <w:rsid w:val="66D37D3F"/>
    <w:rsid w:val="672F3F66"/>
    <w:rsid w:val="67315153"/>
    <w:rsid w:val="673A2154"/>
    <w:rsid w:val="67AA29A7"/>
    <w:rsid w:val="67BD04F7"/>
    <w:rsid w:val="67BF6452"/>
    <w:rsid w:val="68272B43"/>
    <w:rsid w:val="68525518"/>
    <w:rsid w:val="68752FB5"/>
    <w:rsid w:val="68A8338A"/>
    <w:rsid w:val="68C0575F"/>
    <w:rsid w:val="69821E2D"/>
    <w:rsid w:val="69E34E99"/>
    <w:rsid w:val="6A262D78"/>
    <w:rsid w:val="6A433405"/>
    <w:rsid w:val="6A6E23B2"/>
    <w:rsid w:val="6AE306AA"/>
    <w:rsid w:val="6B217424"/>
    <w:rsid w:val="6B511AB7"/>
    <w:rsid w:val="6B621F16"/>
    <w:rsid w:val="6B687842"/>
    <w:rsid w:val="6BA03FE8"/>
    <w:rsid w:val="6BA73DCD"/>
    <w:rsid w:val="6BB12556"/>
    <w:rsid w:val="6C4909E0"/>
    <w:rsid w:val="6C66284F"/>
    <w:rsid w:val="6C823EF2"/>
    <w:rsid w:val="6CF56946"/>
    <w:rsid w:val="6D4F0278"/>
    <w:rsid w:val="6D613B84"/>
    <w:rsid w:val="6D7B32C7"/>
    <w:rsid w:val="6D9B34BE"/>
    <w:rsid w:val="6E0E09C0"/>
    <w:rsid w:val="6E0E3C8F"/>
    <w:rsid w:val="6E5A0455"/>
    <w:rsid w:val="6EC400CD"/>
    <w:rsid w:val="6ED1506A"/>
    <w:rsid w:val="6F0926A9"/>
    <w:rsid w:val="6F1352D6"/>
    <w:rsid w:val="6F411E43"/>
    <w:rsid w:val="6F5C552B"/>
    <w:rsid w:val="6F6618A9"/>
    <w:rsid w:val="6F6F075E"/>
    <w:rsid w:val="6FD86047"/>
    <w:rsid w:val="701D640C"/>
    <w:rsid w:val="70414DDC"/>
    <w:rsid w:val="705F01B6"/>
    <w:rsid w:val="7073020B"/>
    <w:rsid w:val="708F6ACB"/>
    <w:rsid w:val="70AE175A"/>
    <w:rsid w:val="70DA5B94"/>
    <w:rsid w:val="70E60E46"/>
    <w:rsid w:val="71357B7A"/>
    <w:rsid w:val="714E33D3"/>
    <w:rsid w:val="714F5D21"/>
    <w:rsid w:val="71502811"/>
    <w:rsid w:val="71613894"/>
    <w:rsid w:val="717C7162"/>
    <w:rsid w:val="71D71238"/>
    <w:rsid w:val="71EA0570"/>
    <w:rsid w:val="72121874"/>
    <w:rsid w:val="72295052"/>
    <w:rsid w:val="72330169"/>
    <w:rsid w:val="72686187"/>
    <w:rsid w:val="726B5B54"/>
    <w:rsid w:val="729F0316"/>
    <w:rsid w:val="731D6723"/>
    <w:rsid w:val="73375A36"/>
    <w:rsid w:val="73751B66"/>
    <w:rsid w:val="739A3B7D"/>
    <w:rsid w:val="73BD5740"/>
    <w:rsid w:val="73F5560F"/>
    <w:rsid w:val="73F86A86"/>
    <w:rsid w:val="740578E3"/>
    <w:rsid w:val="741457BA"/>
    <w:rsid w:val="74321EB0"/>
    <w:rsid w:val="745368A0"/>
    <w:rsid w:val="74735028"/>
    <w:rsid w:val="74A959FE"/>
    <w:rsid w:val="74DE74AE"/>
    <w:rsid w:val="75271ADB"/>
    <w:rsid w:val="75295853"/>
    <w:rsid w:val="7553467E"/>
    <w:rsid w:val="758B02BC"/>
    <w:rsid w:val="76020FF3"/>
    <w:rsid w:val="763B46E9"/>
    <w:rsid w:val="76556D2F"/>
    <w:rsid w:val="76591358"/>
    <w:rsid w:val="768A2321"/>
    <w:rsid w:val="76A52D81"/>
    <w:rsid w:val="76A809F9"/>
    <w:rsid w:val="76BC7C02"/>
    <w:rsid w:val="76FB4FCD"/>
    <w:rsid w:val="77065F23"/>
    <w:rsid w:val="773F4EBA"/>
    <w:rsid w:val="77442D99"/>
    <w:rsid w:val="7793763D"/>
    <w:rsid w:val="77CB30D0"/>
    <w:rsid w:val="780D320A"/>
    <w:rsid w:val="783F0EE9"/>
    <w:rsid w:val="78E1687D"/>
    <w:rsid w:val="79305402"/>
    <w:rsid w:val="79355C04"/>
    <w:rsid w:val="79697206"/>
    <w:rsid w:val="797B41A3"/>
    <w:rsid w:val="799A287B"/>
    <w:rsid w:val="79DA711C"/>
    <w:rsid w:val="7A8809A7"/>
    <w:rsid w:val="7ABA16C4"/>
    <w:rsid w:val="7B3E463A"/>
    <w:rsid w:val="7B3F7B7E"/>
    <w:rsid w:val="7B9B48A5"/>
    <w:rsid w:val="7B9C67BB"/>
    <w:rsid w:val="7BA730D1"/>
    <w:rsid w:val="7BC34B78"/>
    <w:rsid w:val="7C02047F"/>
    <w:rsid w:val="7C22100D"/>
    <w:rsid w:val="7C3945CD"/>
    <w:rsid w:val="7CF34F0C"/>
    <w:rsid w:val="7CF6426C"/>
    <w:rsid w:val="7D221534"/>
    <w:rsid w:val="7DA41F1A"/>
    <w:rsid w:val="7E4951F2"/>
    <w:rsid w:val="7E802F14"/>
    <w:rsid w:val="7F1F0C49"/>
    <w:rsid w:val="7F233D11"/>
    <w:rsid w:val="7F4519A8"/>
    <w:rsid w:val="7F700123"/>
    <w:rsid w:val="7FA30FE3"/>
    <w:rsid w:val="7FC142EE"/>
    <w:rsid w:val="7FC17195"/>
    <w:rsid w:val="7FEC4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正文文本 (2)"/>
    <w:basedOn w:val="1"/>
    <w:qFormat/>
    <w:uiPriority w:val="0"/>
    <w:pPr>
      <w:widowControl w:val="0"/>
      <w:shd w:val="clear" w:color="auto" w:fill="auto"/>
      <w:spacing w:line="317" w:lineRule="auto"/>
    </w:pPr>
    <w:rPr>
      <w:rFonts w:ascii="Times New Roman" w:hAnsi="Times New Roman" w:eastAsia="Times New Roman" w:cs="Times New Roman"/>
      <w:sz w:val="20"/>
      <w:szCs w:val="20"/>
      <w:u w:val="none"/>
      <w:lang w:val="zh-CN" w:eastAsia="zh-CN" w:bidi="zh-CN"/>
    </w:rPr>
  </w:style>
  <w:style w:type="paragraph" w:customStyle="1" w:styleId="15">
    <w:name w:val="标题 #1"/>
    <w:basedOn w:val="1"/>
    <w:qFormat/>
    <w:uiPriority w:val="0"/>
    <w:pPr>
      <w:widowControl w:val="0"/>
      <w:shd w:val="clear" w:color="auto" w:fill="auto"/>
      <w:spacing w:after="280" w:line="180" w:lineRule="auto"/>
      <w:ind w:right="320"/>
      <w:jc w:val="right"/>
      <w:outlineLvl w:val="0"/>
    </w:pPr>
    <w:rPr>
      <w:rFonts w:ascii="Times New Roman" w:hAnsi="Times New Roman" w:eastAsia="Times New Roman" w:cs="Times New Roman"/>
      <w:b/>
      <w:bCs/>
      <w:sz w:val="96"/>
      <w:szCs w:val="96"/>
      <w:u w:val="none"/>
    </w:rPr>
  </w:style>
  <w:style w:type="paragraph" w:customStyle="1" w:styleId="16">
    <w:name w:val="标题 #2"/>
    <w:basedOn w:val="1"/>
    <w:qFormat/>
    <w:uiPriority w:val="0"/>
    <w:pPr>
      <w:widowControl w:val="0"/>
      <w:shd w:val="clear" w:color="auto" w:fill="auto"/>
      <w:spacing w:after="6460" w:line="696" w:lineRule="exact"/>
      <w:ind w:firstLine="70"/>
      <w:jc w:val="center"/>
      <w:outlineLvl w:val="1"/>
    </w:pPr>
    <w:rPr>
      <w:rFonts w:ascii="黑体" w:hAnsi="黑体" w:eastAsia="黑体" w:cs="黑体"/>
      <w:sz w:val="52"/>
      <w:szCs w:val="52"/>
      <w:u w:val="none"/>
      <w:lang w:val="zh-CN" w:eastAsia="zh-CN" w:bidi="zh-CN"/>
    </w:rPr>
  </w:style>
  <w:style w:type="paragraph" w:customStyle="1" w:styleId="17">
    <w:name w:val="正文文本 (4)"/>
    <w:basedOn w:val="1"/>
    <w:qFormat/>
    <w:uiPriority w:val="0"/>
    <w:pPr>
      <w:widowControl w:val="0"/>
      <w:shd w:val="clear" w:color="auto" w:fill="auto"/>
      <w:spacing w:after="780"/>
      <w:ind w:right="160"/>
      <w:jc w:val="right"/>
    </w:pPr>
    <w:rPr>
      <w:rFonts w:ascii="Times New Roman" w:hAnsi="Times New Roman" w:eastAsia="Times New Roman" w:cs="Times New Roman"/>
      <w:sz w:val="28"/>
      <w:szCs w:val="28"/>
      <w:u w:val="none"/>
    </w:rPr>
  </w:style>
  <w:style w:type="paragraph" w:customStyle="1" w:styleId="18">
    <w:name w:val="正文文本 (5)"/>
    <w:basedOn w:val="1"/>
    <w:qFormat/>
    <w:uiPriority w:val="0"/>
    <w:pPr>
      <w:widowControl w:val="0"/>
      <w:shd w:val="clear" w:color="auto" w:fill="auto"/>
      <w:spacing w:after="340"/>
      <w:jc w:val="center"/>
    </w:pPr>
    <w:rPr>
      <w:rFonts w:ascii="黑体" w:hAnsi="黑体" w:eastAsia="黑体" w:cs="黑体"/>
      <w:sz w:val="30"/>
      <w:szCs w:val="30"/>
      <w:u w:val="none"/>
      <w:lang w:val="zh-CN" w:eastAsia="zh-CN" w:bidi="zh-CN"/>
    </w:rPr>
  </w:style>
  <w:style w:type="paragraph" w:customStyle="1" w:styleId="19">
    <w:name w:val="标题 #3"/>
    <w:basedOn w:val="1"/>
    <w:qFormat/>
    <w:uiPriority w:val="0"/>
    <w:pPr>
      <w:widowControl w:val="0"/>
      <w:shd w:val="clear" w:color="auto" w:fill="auto"/>
      <w:spacing w:before="390" w:after="580"/>
      <w:jc w:val="center"/>
      <w:outlineLvl w:val="2"/>
    </w:pPr>
    <w:rPr>
      <w:rFonts w:ascii="黑体" w:hAnsi="黑体" w:eastAsia="黑体" w:cs="黑体"/>
      <w:sz w:val="30"/>
      <w:szCs w:val="30"/>
      <w:u w:val="none"/>
      <w:lang w:val="zh-CN" w:eastAsia="zh-CN" w:bidi="zh-CN"/>
    </w:rPr>
  </w:style>
  <w:style w:type="paragraph" w:customStyle="1" w:styleId="20">
    <w:name w:val="目录"/>
    <w:basedOn w:val="1"/>
    <w:qFormat/>
    <w:uiPriority w:val="0"/>
    <w:pPr>
      <w:widowControl w:val="0"/>
      <w:shd w:val="clear" w:color="auto" w:fill="auto"/>
      <w:spacing w:after="140"/>
    </w:pPr>
    <w:rPr>
      <w:rFonts w:ascii="宋体" w:hAnsi="宋体" w:eastAsia="宋体" w:cs="宋体"/>
      <w:sz w:val="20"/>
      <w:szCs w:val="20"/>
      <w:u w:val="none"/>
      <w:lang w:val="zh-CN" w:eastAsia="zh-CN" w:bidi="zh-CN"/>
    </w:rPr>
  </w:style>
  <w:style w:type="paragraph" w:customStyle="1" w:styleId="21">
    <w:name w:val="正文文本1"/>
    <w:basedOn w:val="1"/>
    <w:qFormat/>
    <w:uiPriority w:val="0"/>
    <w:pPr>
      <w:widowControl w:val="0"/>
      <w:shd w:val="clear" w:color="auto" w:fill="auto"/>
      <w:spacing w:line="317" w:lineRule="auto"/>
    </w:pPr>
    <w:rPr>
      <w:rFonts w:ascii="宋体" w:hAnsi="宋体" w:eastAsia="宋体" w:cs="宋体"/>
      <w:sz w:val="20"/>
      <w:szCs w:val="20"/>
      <w:u w:val="none"/>
      <w:lang w:val="zh-CN" w:eastAsia="zh-CN" w:bidi="zh-CN"/>
    </w:rPr>
  </w:style>
  <w:style w:type="paragraph" w:customStyle="1" w:styleId="22">
    <w:name w:val="其他"/>
    <w:basedOn w:val="1"/>
    <w:qFormat/>
    <w:uiPriority w:val="0"/>
    <w:pPr>
      <w:widowControl w:val="0"/>
      <w:shd w:val="clear" w:color="auto" w:fill="auto"/>
      <w:spacing w:line="317" w:lineRule="auto"/>
    </w:pPr>
    <w:rPr>
      <w:rFonts w:ascii="宋体" w:hAnsi="宋体" w:eastAsia="宋体" w:cs="宋体"/>
      <w:sz w:val="20"/>
      <w:szCs w:val="20"/>
      <w:u w:val="none"/>
      <w:lang w:val="zh-CN" w:eastAsia="zh-CN" w:bidi="zh-CN"/>
    </w:rPr>
  </w:style>
  <w:style w:type="paragraph" w:customStyle="1" w:styleId="23">
    <w:name w:val="表格标题"/>
    <w:basedOn w:val="1"/>
    <w:qFormat/>
    <w:uiPriority w:val="0"/>
    <w:pPr>
      <w:widowControl w:val="0"/>
      <w:shd w:val="clear" w:color="auto" w:fill="auto"/>
    </w:pPr>
    <w:rPr>
      <w:rFonts w:ascii="宋体" w:hAnsi="宋体" w:eastAsia="宋体" w:cs="宋体"/>
      <w:sz w:val="18"/>
      <w:szCs w:val="18"/>
      <w:u w:val="none"/>
      <w:lang w:val="zh-CN" w:eastAsia="zh-CN" w:bidi="zh-CN"/>
    </w:rPr>
  </w:style>
  <w:style w:type="paragraph" w:customStyle="1" w:styleId="24">
    <w:name w:val="图片标题"/>
    <w:basedOn w:val="1"/>
    <w:qFormat/>
    <w:uiPriority w:val="0"/>
    <w:pPr>
      <w:widowControl w:val="0"/>
      <w:shd w:val="clear" w:color="auto" w:fill="auto"/>
      <w:jc w:val="right"/>
    </w:pPr>
    <w:rPr>
      <w:rFonts w:ascii="宋体" w:hAnsi="宋体" w:eastAsia="宋体" w:cs="宋体"/>
      <w:sz w:val="20"/>
      <w:szCs w:val="20"/>
      <w:u w:val="none"/>
      <w:lang w:val="zh-CN" w:eastAsia="zh-CN" w:bidi="zh-CN"/>
    </w:rPr>
  </w:style>
  <w:style w:type="paragraph" w:customStyle="1" w:styleId="25">
    <w:name w:val="正文文本 (3)"/>
    <w:basedOn w:val="1"/>
    <w:qFormat/>
    <w:uiPriority w:val="0"/>
    <w:pPr>
      <w:widowControl w:val="0"/>
      <w:shd w:val="clear" w:color="auto" w:fill="auto"/>
    </w:pPr>
    <w:rPr>
      <w:rFonts w:ascii="宋体" w:hAnsi="宋体" w:eastAsia="宋体" w:cs="宋体"/>
      <w:sz w:val="18"/>
      <w:szCs w:val="18"/>
      <w:u w:val="none"/>
      <w:lang w:val="zh-CN" w:eastAsia="zh-CN" w:bidi="zh-CN"/>
    </w:rPr>
  </w:style>
  <w:style w:type="paragraph" w:customStyle="1" w:styleId="26">
    <w:name w:val="正文文本 (6)"/>
    <w:basedOn w:val="1"/>
    <w:qFormat/>
    <w:uiPriority w:val="0"/>
    <w:pPr>
      <w:widowControl w:val="0"/>
      <w:shd w:val="clear" w:color="auto" w:fill="auto"/>
    </w:pPr>
    <w:rPr>
      <w:rFonts w:ascii="黑体" w:hAnsi="黑体" w:eastAsia="黑体" w:cs="黑体"/>
      <w:sz w:val="20"/>
      <w:szCs w:val="20"/>
      <w:u w:val="none"/>
    </w:rPr>
  </w:style>
  <w:style w:type="paragraph" w:customStyle="1" w:styleId="27">
    <w:name w:val="页眉或页脚 (2)"/>
    <w:basedOn w:val="1"/>
    <w:qFormat/>
    <w:uiPriority w:val="0"/>
    <w:pPr>
      <w:widowControl w:val="0"/>
      <w:shd w:val="clear" w:color="auto" w:fill="auto"/>
    </w:pPr>
    <w:rPr>
      <w:rFonts w:ascii="Times New Roman" w:hAnsi="Times New Roman" w:eastAsia="Times New Roman" w:cs="Times New Roman"/>
      <w:sz w:val="20"/>
      <w:szCs w:val="20"/>
      <w:u w:val="none"/>
    </w:rPr>
  </w:style>
  <w:style w:type="paragraph" w:styleId="28">
    <w:name w:val="List Paragraph"/>
    <w:basedOn w:val="1"/>
    <w:qFormat/>
    <w:uiPriority w:val="34"/>
    <w:pPr>
      <w:ind w:left="720"/>
      <w:contextualSpacing/>
    </w:pPr>
  </w:style>
  <w:style w:type="paragraph" w:customStyle="1" w:styleId="29">
    <w:name w:val="前言、引言标题"/>
    <w:next w:val="30"/>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0">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1">
    <w:name w:val="目次、标准名称标题"/>
    <w:basedOn w:val="1"/>
    <w:next w:val="30"/>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32">
    <w:name w:val="标准文件_正文表标题"/>
    <w:next w:val="33"/>
    <w:qFormat/>
    <w:uiPriority w:val="0"/>
    <w:pPr>
      <w:numPr>
        <w:ilvl w:val="0"/>
        <w:numId w:val="1"/>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33">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4">
    <w:name w:val="标准文件_表格"/>
    <w:basedOn w:val="33"/>
    <w:qFormat/>
    <w:uiPriority w:val="0"/>
    <w:pPr>
      <w:ind w:firstLine="0" w:firstLineChars="0"/>
      <w:jc w:val="center"/>
    </w:pPr>
    <w:rPr>
      <w:sz w:val="18"/>
    </w:rPr>
  </w:style>
  <w:style w:type="paragraph" w:customStyle="1" w:styleId="35">
    <w:name w:val="章标题"/>
    <w:next w:val="30"/>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36">
    <w:name w:val="一级条标题"/>
    <w:next w:val="30"/>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37">
    <w:name w:val="注：（正文）"/>
    <w:basedOn w:val="38"/>
    <w:next w:val="30"/>
    <w:qFormat/>
    <w:uiPriority w:val="0"/>
  </w:style>
  <w:style w:type="paragraph" w:customStyle="1" w:styleId="38">
    <w:name w:val="注："/>
    <w:next w:val="30"/>
    <w:qFormat/>
    <w:uiPriority w:val="0"/>
    <w:pPr>
      <w:widowControl w:val="0"/>
      <w:numPr>
        <w:ilvl w:val="0"/>
        <w:numId w:val="3"/>
      </w:numPr>
      <w:autoSpaceDE w:val="0"/>
      <w:autoSpaceDN w:val="0"/>
      <w:ind w:left="726"/>
      <w:jc w:val="both"/>
    </w:pPr>
    <w:rPr>
      <w:rFonts w:ascii="宋体" w:hAnsi="Times New Roman" w:eastAsia="宋体" w:cs="Times New Roman"/>
      <w:sz w:val="18"/>
      <w:szCs w:val="18"/>
      <w:lang w:val="en-US" w:eastAsia="zh-CN" w:bidi="ar-SA"/>
    </w:rPr>
  </w:style>
  <w:style w:type="paragraph" w:customStyle="1" w:styleId="39">
    <w:name w:val="二级无"/>
    <w:basedOn w:val="40"/>
    <w:qFormat/>
    <w:uiPriority w:val="0"/>
    <w:pPr>
      <w:spacing w:before="0" w:beforeLines="0" w:after="0" w:afterLines="0"/>
      <w:ind w:left="0" w:firstLine="0"/>
    </w:pPr>
    <w:rPr>
      <w:rFonts w:ascii="宋体" w:eastAsia="宋体"/>
    </w:rPr>
  </w:style>
  <w:style w:type="paragraph" w:customStyle="1" w:styleId="40">
    <w:name w:val="二级条标题"/>
    <w:basedOn w:val="36"/>
    <w:next w:val="30"/>
    <w:qFormat/>
    <w:uiPriority w:val="0"/>
    <w:pPr>
      <w:numPr>
        <w:ilvl w:val="2"/>
        <w:numId w:val="2"/>
      </w:numPr>
      <w:spacing w:before="50" w:after="50"/>
      <w:outlineLvl w:val="3"/>
    </w:pPr>
  </w:style>
  <w:style w:type="paragraph" w:customStyle="1" w:styleId="41">
    <w:name w:val="终结线"/>
    <w:basedOn w:val="1"/>
    <w:qFormat/>
    <w:uiPriority w:val="0"/>
    <w:pPr>
      <w:framePr w:hSpace="181" w:vSpace="181" w:wrap="around" w:vAnchor="text" w:hAnchor="margin" w:xAlign="center" w:y="285"/>
    </w:pPr>
  </w:style>
  <w:style w:type="paragraph" w:customStyle="1" w:styleId="42">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43">
    <w:name w:val="数字编号列项（二级）"/>
    <w:qFormat/>
    <w:uiPriority w:val="0"/>
    <w:pPr>
      <w:numPr>
        <w:ilvl w:val="1"/>
        <w:numId w:val="4"/>
      </w:numPr>
      <w:jc w:val="both"/>
    </w:pPr>
    <w:rPr>
      <w:rFonts w:ascii="宋体" w:hAnsi="Times New Roman" w:eastAsia="宋体" w:cs="Times New Roman"/>
      <w:sz w:val="21"/>
      <w:lang w:val="en-US" w:eastAsia="zh-CN" w:bidi="ar-SA"/>
    </w:rPr>
  </w:style>
  <w:style w:type="paragraph" w:customStyle="1" w:styleId="44">
    <w:name w:val="附录图标号"/>
    <w:basedOn w:val="1"/>
    <w:qFormat/>
    <w:uiPriority w:val="0"/>
    <w:pPr>
      <w:keepNext/>
      <w:pageBreakBefore/>
      <w:widowControl/>
      <w:numPr>
        <w:ilvl w:val="0"/>
        <w:numId w:val="5"/>
      </w:numPr>
      <w:spacing w:line="14" w:lineRule="exact"/>
      <w:ind w:left="0" w:firstLine="363"/>
      <w:jc w:val="center"/>
      <w:outlineLvl w:val="0"/>
    </w:pPr>
    <w:rPr>
      <w:color w:val="FFFFFF"/>
    </w:rPr>
  </w:style>
  <w:style w:type="paragraph" w:customStyle="1" w:styleId="45">
    <w:name w:val="附录表标号"/>
    <w:basedOn w:val="1"/>
    <w:next w:val="30"/>
    <w:qFormat/>
    <w:uiPriority w:val="0"/>
    <w:pPr>
      <w:numPr>
        <w:ilvl w:val="0"/>
        <w:numId w:val="6"/>
      </w:numPr>
      <w:tabs>
        <w:tab w:val="clear" w:pos="0"/>
      </w:tabs>
      <w:spacing w:line="14" w:lineRule="exact"/>
      <w:ind w:left="811" w:hanging="448"/>
      <w:jc w:val="center"/>
      <w:outlineLvl w:val="0"/>
    </w:pPr>
    <w:rPr>
      <w:color w:val="FFFFFF"/>
    </w:rPr>
  </w:style>
  <w:style w:type="paragraph" w:customStyle="1" w:styleId="46">
    <w:name w:val="附录标识"/>
    <w:basedOn w:val="1"/>
    <w:next w:val="30"/>
    <w:qFormat/>
    <w:uiPriority w:val="0"/>
    <w:pPr>
      <w:keepNext/>
      <w:widowControl/>
      <w:numPr>
        <w:ilvl w:val="0"/>
        <w:numId w:val="7"/>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47">
    <w:name w:val="附录章标题"/>
    <w:next w:val="30"/>
    <w:qFormat/>
    <w:uiPriority w:val="0"/>
    <w:pPr>
      <w:numPr>
        <w:ilvl w:val="1"/>
        <w:numId w:val="7"/>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48">
    <w:name w:val="正文表标题"/>
    <w:next w:val="30"/>
    <w:qFormat/>
    <w:uiPriority w:val="0"/>
    <w:pPr>
      <w:numPr>
        <w:ilvl w:val="0"/>
        <w:numId w:val="1"/>
      </w:numPr>
      <w:spacing w:before="156" w:beforeLines="50" w:after="156" w:afterLines="50"/>
      <w:jc w:val="center"/>
    </w:pPr>
    <w:rPr>
      <w:rFonts w:ascii="黑体" w:hAnsi="Times New Roman" w:eastAsia="黑体" w:cs="Times New Roman"/>
      <w:sz w:val="21"/>
      <w:lang w:val="en-US" w:eastAsia="zh-CN" w:bidi="ar-SA"/>
    </w:rPr>
  </w:style>
  <w:style w:type="paragraph" w:customStyle="1" w:styleId="49">
    <w:name w:val="注×："/>
    <w:qFormat/>
    <w:uiPriority w:val="0"/>
    <w:pPr>
      <w:widowControl w:val="0"/>
      <w:numPr>
        <w:ilvl w:val="0"/>
        <w:numId w:val="8"/>
      </w:numPr>
      <w:autoSpaceDE w:val="0"/>
      <w:autoSpaceDN w:val="0"/>
      <w:jc w:val="both"/>
    </w:pPr>
    <w:rPr>
      <w:rFonts w:ascii="宋体" w:hAnsi="Times New Roman" w:eastAsia="宋体" w:cs="Times New Roman"/>
      <w:sz w:val="18"/>
      <w:szCs w:val="18"/>
      <w:lang w:val="en-US" w:eastAsia="zh-CN" w:bidi="ar-SA"/>
    </w:rPr>
  </w:style>
  <w:style w:type="paragraph" w:customStyle="1" w:styleId="50">
    <w:name w:val="正文图标题"/>
    <w:next w:val="30"/>
    <w:qFormat/>
    <w:uiPriority w:val="0"/>
    <w:pPr>
      <w:numPr>
        <w:ilvl w:val="0"/>
        <w:numId w:val="9"/>
      </w:numPr>
      <w:spacing w:before="156" w:beforeLines="50" w:after="156" w:afterLines="50"/>
      <w:jc w:val="center"/>
    </w:pPr>
    <w:rPr>
      <w:rFonts w:ascii="黑体" w:hAnsi="Times New Roman" w:eastAsia="黑体" w:cs="Times New Roman"/>
      <w:sz w:val="21"/>
      <w:lang w:val="en-US" w:eastAsia="zh-CN" w:bidi="ar-SA"/>
    </w:rPr>
  </w:style>
  <w:style w:type="paragraph" w:customStyle="1" w:styleId="51">
    <w:name w:val="图表脚注说明"/>
    <w:basedOn w:val="1"/>
    <w:qFormat/>
    <w:uiPriority w:val="0"/>
    <w:pPr>
      <w:numPr>
        <w:ilvl w:val="0"/>
        <w:numId w:val="10"/>
      </w:numPr>
    </w:pPr>
    <w:rPr>
      <w:rFonts w:ascii="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6.png"/><Relationship Id="rId27" Type="http://schemas.openxmlformats.org/officeDocument/2006/relationships/image" Target="media/image5.png"/><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07e24c6d-8bbb-4153-923c-95ebac2999d7</errorID>
      <errorWord>instrumen</errorWord>
      <group>L1_English</group>
      <groupName>英文问题</groupName>
      <ability>L2_Spell</ability>
      <abilityName>拼写问题</abilityName>
      <candidateList>
        <item>instrument</item>
      </candidateList>
      <explain>疑似单词拼写有误，建议将instrumen修改为instrument</explain>
      <paraID>61F18443</paraID>
      <start>23</start>
      <end>33</end>
      <status>modified</status>
      <modifiedWord>instrument</modifiedWord>
      <trackRevisions>false</trackRevisions>
    </reviewItem>
    <reviewItem>
      <errorID>06516aee-e8a2-48e8-8304-a3ac0329ecd6</errorID>
      <errorWord>程</errorWord>
      <group>L1_Word</group>
      <groupName>字词问题</groupName>
      <ability>L2_Typo</ability>
      <abilityName>字词错误</abilityName>
      <candidateList>
        <item>程中</item>
      </candidateList>
      <explain/>
      <paraID>66E9687A</paraID>
      <start>44</start>
      <end>45</end>
      <status>unmodified</status>
      <modifiedWord/>
      <trackRevisions>false</trackRevisions>
    </reviewItem>
    <reviewItem>
      <errorID>5649d883-37b0-4557-a31c-12cfe24ee639</errorID>
      <errorWord>联通</errorWord>
      <group>L1_Word</group>
      <groupName>字词问题</groupName>
      <ability>L2_Typo</ability>
      <abilityName>字词错误</abilityName>
      <candidateList>
        <item>连通</item>
      </candidateList>
      <explain>存在发音相同字词的误用。</explain>
      <paraID>44ECF6CC</paraID>
      <start>15</start>
      <end>17</end>
      <status>unmodified</status>
      <modifiedWord/>
      <trackRevisions>false</trackRevisions>
    </reviewItem>
    <reviewItem>
      <errorID>2f011a84-ad75-4067-b87b-1c709c04f99b</errorID>
      <errorWord>联通</errorWord>
      <group>L1_Word</group>
      <groupName>字词问题</groupName>
      <ability>L2_Typo</ability>
      <abilityName>字词错误</abilityName>
      <candidateList>
        <item>连通</item>
      </candidateList>
      <explain>存在发音相同字词的误用。</explain>
      <paraID>44ECF6CC</paraID>
      <start>28</start>
      <end>30</end>
      <status>unmodified</status>
      <modifiedWord/>
      <trackRevisions>false</trackRevisions>
    </reviewItem>
    <reviewItem>
      <errorID>35691c25-b546-4e3c-84d9-d98b36c3a273</errorID>
      <errorWord>期间</errorWord>
      <group>L1_Word</group>
      <groupName>字词问题</groupName>
      <ability>L2_Typo</ability>
      <abilityName>字词错误</abilityName>
      <candidateList>
        <item>其间</item>
      </candidateList>
      <explain/>
      <paraID>1E204956</paraID>
      <start>15</start>
      <end>17</end>
      <status>unmodified</status>
      <modifiedWord/>
      <trackRevisions>false</trackRevisions>
    </reviewItem>
    <reviewItem>
      <errorID>2aaa740d-dbc7-45bc-9018-cd62210ce489</errorID>
      <errorWord>联通性</errorWord>
      <group>L1_Word</group>
      <groupName>字词问题</groupName>
      <ability>L2_Typo</ability>
      <abilityName>字词错误</abilityName>
      <candidateList>
        <item>连通性</item>
      </candidateList>
      <explain>存在发音相同字词的误用。</explain>
      <paraID>373669A2</paraID>
      <start>29</start>
      <end>32</end>
      <status>unmodified</status>
      <modifiedWord/>
      <trackRevisions>false</trackRevisions>
    </reviewItem>
    <reviewItem>
      <errorID>d0099fb5-3131-4911-a9c0-988dee493e2e</errorID>
      <errorWord>粘度</errorWord>
      <group>L1_Word</group>
      <groupName>字词问题</groupName>
      <ability>L2_Alias</ability>
      <abilityName>也作/曾用词</abilityName>
      <candidateList>
        <item>黏度</item>
      </candidateList>
      <explain>词汇[粘度]为不规范表述或旧称，其规范书面表述为[黏度]。</explain>
      <paraID>132BBAA7</paraID>
      <start>2</start>
      <end>4</end>
      <status>unmodified</status>
      <modifiedWord/>
      <trackRevisions>false</trackRevisions>
    </reviewItem>
    <reviewItem>
      <errorID>f6eb109f-d7e2-476b-b2d0-47436c4525d2</errorID>
      <errorWord>粘度</errorWord>
      <group>L1_Word</group>
      <groupName>字词问题</groupName>
      <ability>L2_Alias</ability>
      <abilityName>也作/曾用词</abilityName>
      <candidateList>
        <item>黏度</item>
      </candidateList>
      <explain>词汇[粘度]为不规范表述或旧称，其规范书面表述为[黏度]。</explain>
      <paraID>620E0727</paraID>
      <start>2</start>
      <end>4</end>
      <status>unmodified</status>
      <modifiedWord/>
      <trackRevisions>false</trackRevisions>
    </reviewItem>
    <reviewItem>
      <errorID>f5c8580b-8adf-4cd4-a638-4369abd35547</errorID>
      <errorWord>粘度</errorWord>
      <group>L1_Word</group>
      <groupName>字词问题</groupName>
      <ability>L2_Alias</ability>
      <abilityName>也作/曾用词</abilityName>
      <candidateList>
        <item>黏度</item>
      </candidateList>
      <explain>词汇[粘度]为不规范表述或旧称，其规范书面表述为[黏度]。</explain>
      <paraID>620E0727</paraID>
      <start>23</start>
      <end>25</end>
      <status>unmodified</status>
      <modifiedWord/>
      <trackRevisions>false</trackRevisions>
    </reviewItem>
    <reviewItem>
      <errorID>757be305-6bac-4b0a-9d23-cdaf2e50c4b9</errorID>
      <errorWord>粘度</errorWord>
      <group>L1_Word</group>
      <groupName>字词问题</groupName>
      <ability>L2_Alias</ability>
      <abilityName>也作/曾用词</abilityName>
      <candidateList>
        <item>黏度</item>
      </candidateList>
      <explain>词汇[粘度]为不规范表述或旧称，其规范书面表述为[黏度]。</explain>
      <paraID>2D07B012</paraID>
      <start>4</start>
      <end>6</end>
      <status>unmodified</status>
      <modifiedWord/>
      <trackRevisions>false</trackRevisions>
    </reviewItem>
    <reviewItem>
      <errorID>186035ea-c217-4af7-9ad1-861e7c40beaf</errorID>
      <errorWord>粘度</errorWord>
      <group>L1_Word</group>
      <groupName>字词问题</groupName>
      <ability>L2_Alias</ability>
      <abilityName>也作/曾用词</abilityName>
      <candidateList>
        <item>黏度</item>
      </candidateList>
      <explain>词汇[粘度]为不规范表述或旧称，其规范书面表述为[黏度]。</explain>
      <paraID>2D07B012</paraID>
      <start>12</start>
      <end>14</end>
      <status>unmodified</status>
      <modifiedWord/>
      <trackRevisions>false</trackRevisions>
    </reviewItem>
    <reviewItem>
      <errorID>4d8e9397-c68f-44c8-9732-60e4e1cf1329</errorID>
      <errorWord>(</errorWord>
      <group>L1_Format</group>
      <groupName>格式问题</groupName>
      <ability>L2_HalfPunc_CN</ability>
      <abilityName>全半角问题</abilityName>
      <candidateList>
        <item>（</item>
      </candidateList>
      <explain>文本全半角错误。</explain>
      <paraID>76801211</paraID>
      <start>42</start>
      <end>43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706e68-119f-43ad-b0f5-47de80662331}">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7068</Words>
  <Characters>7667</Characters>
  <Lines>0</Lines>
  <Paragraphs>0</Paragraphs>
  <TotalTime>35</TotalTime>
  <ScaleCrop>false</ScaleCrop>
  <LinksUpToDate>false</LinksUpToDate>
  <CharactersWithSpaces>7996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2024-11-02T11:33:00Z</dcterms:created>
  <dc:creator>123</dc:creator>
  <cp:lastModifiedBy>朱艳君</cp:lastModifiedBy>
  <dcterms:modified xsi:type="dcterms:W3CDTF">2026-07-30T03:43:30Z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66D39297D54B4E558CF5C4368EEC7ED6_13</vt:lpwstr>
  </property>
  <property fmtid="{D5CDD505-2E9C-101B-9397-08002B2CF9AE}" pid="4" name="KSOTemplateDocerSaveRecord">
    <vt:lpwstr>eyJoZGlkIjoiZjdiZjhiMDE5NDQ4YTg2MDVmN2Y1YmYwMWM0YWQ2OWQiLCJ1c2VySWQiOiIyMzcyOTkwODEifQ==</vt:lpwstr>
  </property>
</Properties>
</file>