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D04B2">
      <w:pPr>
        <w:pStyle w:val="49"/>
        <w:adjustRightInd/>
        <w:snapToGrid/>
        <w:spacing w:beforeLines="0" w:line="240" w:lineRule="auto"/>
        <w:ind w:firstLine="0" w:firstLineChars="0"/>
        <w:jc w:val="both"/>
        <w:outlineLvl w:val="9"/>
        <w:rPr>
          <w:rFonts w:hAnsi="Times New Roman" w:cs="Times New Roman"/>
          <w:sz w:val="21"/>
          <w:szCs w:val="21"/>
        </w:rPr>
      </w:pPr>
      <w:r>
        <w:rPr>
          <w:rFonts w:hint="eastAsia" w:hAnsi="Times New Roman" w:cs="Times New Roman"/>
          <w:sz w:val="21"/>
          <w:szCs w:val="21"/>
        </w:rPr>
        <mc:AlternateContent>
          <mc:Choice Requires="wps">
            <w:drawing>
              <wp:anchor distT="0" distB="0" distL="114300" distR="114300" simplePos="0" relativeHeight="251661312" behindDoc="0" locked="0" layoutInCell="1" allowOverlap="1">
                <wp:simplePos x="0" y="0"/>
                <wp:positionH relativeFrom="column">
                  <wp:posOffset>-6985</wp:posOffset>
                </wp:positionH>
                <wp:positionV relativeFrom="paragraph">
                  <wp:posOffset>3709035</wp:posOffset>
                </wp:positionV>
                <wp:extent cx="6137275" cy="3231515"/>
                <wp:effectExtent l="0" t="0" r="0" b="0"/>
                <wp:wrapNone/>
                <wp:docPr id="8" name="文本框 标准名称" title="标准名称"/>
                <wp:cNvGraphicFramePr/>
                <a:graphic xmlns:a="http://schemas.openxmlformats.org/drawingml/2006/main">
                  <a:graphicData uri="http://schemas.microsoft.com/office/word/2010/wordprocessingShape">
                    <wps:wsp>
                      <wps:cNvSpPr txBox="1"/>
                      <wps:spPr>
                        <a:xfrm>
                          <a:off x="0" y="0"/>
                          <a:ext cx="6137275" cy="32315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8CFCB7">
                            <w:pPr>
                              <w:spacing w:before="156" w:line="680" w:lineRule="exact"/>
                              <w:ind w:firstLine="0" w:firstLineChars="0"/>
                              <w:jc w:val="center"/>
                              <w:rPr>
                                <w:rFonts w:hint="eastAsia" w:ascii="黑体" w:hAnsi="黑体" w:eastAsia="黑体" w:cs="黑体"/>
                                <w:sz w:val="52"/>
                                <w:szCs w:val="52"/>
                              </w:rPr>
                            </w:pPr>
                            <w:bookmarkStart w:id="655" w:name="OLE_LINK2"/>
                            <w:r>
                              <w:rPr>
                                <w:rFonts w:hint="eastAsia" w:ascii="黑体" w:hAnsi="黑体" w:eastAsia="黑体" w:cs="黑体"/>
                                <w:sz w:val="52"/>
                                <w:szCs w:val="52"/>
                              </w:rPr>
                              <w:t>国土空间生态修复规划实施后期</w:t>
                            </w:r>
                          </w:p>
                          <w:p w14:paraId="2035BC0C">
                            <w:pPr>
                              <w:spacing w:before="156" w:line="680" w:lineRule="exact"/>
                              <w:ind w:firstLine="0" w:firstLineChars="0"/>
                              <w:jc w:val="center"/>
                              <w:rPr>
                                <w:rFonts w:hint="eastAsia" w:ascii="黑体" w:hAnsi="黑体" w:eastAsia="黑体" w:cs="黑体"/>
                                <w:sz w:val="52"/>
                                <w:szCs w:val="52"/>
                              </w:rPr>
                            </w:pPr>
                            <w:r>
                              <w:rPr>
                                <w:rFonts w:hint="eastAsia" w:ascii="黑体" w:hAnsi="黑体" w:eastAsia="黑体" w:cs="黑体"/>
                                <w:sz w:val="52"/>
                                <w:szCs w:val="52"/>
                              </w:rPr>
                              <w:t>评估规范</w:t>
                            </w:r>
                          </w:p>
                          <w:bookmarkEnd w:id="655"/>
                          <w:p w14:paraId="1F46222B">
                            <w:pPr>
                              <w:spacing w:before="156" w:line="400" w:lineRule="exact"/>
                              <w:ind w:firstLine="0" w:firstLineChars="0"/>
                              <w:jc w:val="center"/>
                              <w:rPr>
                                <w:rFonts w:hint="eastAsia" w:ascii="黑体" w:hAnsi="黑体" w:eastAsia="黑体" w:cs="黑体"/>
                                <w:spacing w:val="-11"/>
                                <w:w w:val="90"/>
                                <w:kern w:val="0"/>
                                <w:sz w:val="28"/>
                                <w:szCs w:val="28"/>
                              </w:rPr>
                            </w:pPr>
                            <w:r>
                              <w:rPr>
                                <w:rFonts w:hint="eastAsia" w:ascii="黑体" w:hAnsi="黑体" w:eastAsia="黑体" w:cs="黑体"/>
                                <w:spacing w:val="-11"/>
                                <w:w w:val="90"/>
                                <w:kern w:val="0"/>
                                <w:sz w:val="28"/>
                                <w:szCs w:val="28"/>
                              </w:rPr>
                              <w:t>Specifications for post-implementation assessment of national territorial ecological restoration planning</w:t>
                            </w:r>
                          </w:p>
                        </w:txbxContent>
                      </wps:txbx>
                      <wps:bodyPr rot="0" spcFirstLastPara="0" vertOverflow="overflow" horzOverflow="overflow" vert="horz" wrap="square" lIns="36000" tIns="0" rIns="36000" bIns="0" numCol="1" spcCol="0" rtlCol="0" fromWordArt="0" anchor="t" anchorCtr="0" forceAA="0" compatLnSpc="1">
                        <a:noAutofit/>
                      </wps:bodyPr>
                    </wps:wsp>
                  </a:graphicData>
                </a:graphic>
              </wp:anchor>
            </w:drawing>
          </mc:Choice>
          <mc:Fallback>
            <w:pict>
              <v:shape id="文本框 标准名称" o:spid="_x0000_s1026" o:spt="202" type="#_x0000_t202" style="position:absolute;left:0pt;margin-left:-0.55pt;margin-top:292.05pt;height:254.45pt;width:483.25pt;z-index:251661312;mso-width-relative:page;mso-height-relative:page;" filled="f" stroked="f" coordsize="21600,21600" o:gfxdata="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a27K+tkAAAALAQAA&#10;DwAAAAAAAAABACAAAAAiAAAAZHJzL2Rvd25yZXYueG1sUEsBAhQAFAAAAAgAh07iQPFfEOdRAgAA&#10;fwQAAA4AAAAAAAAAAQAgAAAAKAEAAGRycy9lMm9Eb2MueG1sUEsFBgAAAAAGAAYAWQEAAOsFAAAA&#10;AA==&#10;">
                <v:fill on="f" focussize="0,0"/>
                <v:stroke on="f" weight="0.5pt"/>
                <v:imagedata o:title=""/>
                <o:lock v:ext="edit" aspectratio="f"/>
                <v:textbox inset="1mm,0mm,1mm,0mm">
                  <w:txbxContent>
                    <w:p w14:paraId="398CFCB7">
                      <w:pPr>
                        <w:spacing w:before="156" w:line="680" w:lineRule="exact"/>
                        <w:ind w:firstLine="0" w:firstLineChars="0"/>
                        <w:jc w:val="center"/>
                        <w:rPr>
                          <w:rFonts w:hint="eastAsia" w:ascii="黑体" w:hAnsi="黑体" w:eastAsia="黑体" w:cs="黑体"/>
                          <w:sz w:val="52"/>
                          <w:szCs w:val="52"/>
                        </w:rPr>
                      </w:pPr>
                      <w:bookmarkStart w:id="655" w:name="OLE_LINK2"/>
                      <w:r>
                        <w:rPr>
                          <w:rFonts w:hint="eastAsia" w:ascii="黑体" w:hAnsi="黑体" w:eastAsia="黑体" w:cs="黑体"/>
                          <w:sz w:val="52"/>
                          <w:szCs w:val="52"/>
                        </w:rPr>
                        <w:t>国土空间生态修复规划实施后期</w:t>
                      </w:r>
                    </w:p>
                    <w:p w14:paraId="2035BC0C">
                      <w:pPr>
                        <w:spacing w:before="156" w:line="680" w:lineRule="exact"/>
                        <w:ind w:firstLine="0" w:firstLineChars="0"/>
                        <w:jc w:val="center"/>
                        <w:rPr>
                          <w:rFonts w:hint="eastAsia" w:ascii="黑体" w:hAnsi="黑体" w:eastAsia="黑体" w:cs="黑体"/>
                          <w:sz w:val="52"/>
                          <w:szCs w:val="52"/>
                        </w:rPr>
                      </w:pPr>
                      <w:r>
                        <w:rPr>
                          <w:rFonts w:hint="eastAsia" w:ascii="黑体" w:hAnsi="黑体" w:eastAsia="黑体" w:cs="黑体"/>
                          <w:sz w:val="52"/>
                          <w:szCs w:val="52"/>
                        </w:rPr>
                        <w:t>评估规范</w:t>
                      </w:r>
                    </w:p>
                    <w:bookmarkEnd w:id="655"/>
                    <w:p w14:paraId="1F46222B">
                      <w:pPr>
                        <w:spacing w:before="156" w:line="400" w:lineRule="exact"/>
                        <w:ind w:firstLine="0" w:firstLineChars="0"/>
                        <w:jc w:val="center"/>
                        <w:rPr>
                          <w:rFonts w:hint="eastAsia" w:ascii="黑体" w:hAnsi="黑体" w:eastAsia="黑体" w:cs="黑体"/>
                          <w:spacing w:val="-11"/>
                          <w:w w:val="90"/>
                          <w:kern w:val="0"/>
                          <w:sz w:val="28"/>
                          <w:szCs w:val="28"/>
                        </w:rPr>
                      </w:pPr>
                      <w:r>
                        <w:rPr>
                          <w:rFonts w:hint="eastAsia" w:ascii="黑体" w:hAnsi="黑体" w:eastAsia="黑体" w:cs="黑体"/>
                          <w:spacing w:val="-11"/>
                          <w:w w:val="90"/>
                          <w:kern w:val="0"/>
                          <w:sz w:val="28"/>
                          <w:szCs w:val="28"/>
                        </w:rPr>
                        <w:t>Specifications for post-implementation assessment of national territorial ecological restoration planning</w:t>
                      </w:r>
                    </w:p>
                  </w:txbxContent>
                </v:textbox>
              </v:shape>
            </w:pict>
          </mc:Fallback>
        </mc:AlternateContent>
      </w:r>
      <w:r>
        <w:rPr>
          <w:rFonts w:hint="eastAsia" w:hAnsi="Times New Roman" w:cs="Times New Roman"/>
          <w:sz w:val="21"/>
          <w:szCs w:val="21"/>
        </w:rPr>
        <w:t>ICS                                                                                 CCS Z06</w:t>
      </w:r>
    </w:p>
    <w:p w14:paraId="18E751BE">
      <w:pPr>
        <w:pStyle w:val="50"/>
        <w:ind w:firstLine="0" w:firstLineChars="0"/>
        <w:rPr>
          <w:rFonts w:hint="eastAsia" w:hAnsi="宋体" w:cs="宋体"/>
        </w:rPr>
      </w:pPr>
      <w:r>
        <w:rPr>
          <w:rFonts w:hint="eastAsia" w:hAnsi="宋体" w:cs="宋体"/>
          <w:b/>
          <w:bCs/>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164465</wp:posOffset>
                </wp:positionV>
                <wp:extent cx="5946775" cy="658495"/>
                <wp:effectExtent l="0" t="0" r="0" b="0"/>
                <wp:wrapNone/>
                <wp:docPr id="5" name="文本框 标准抬头" title="标准抬头"/>
                <wp:cNvGraphicFramePr/>
                <a:graphic xmlns:a="http://schemas.openxmlformats.org/drawingml/2006/main">
                  <a:graphicData uri="http://schemas.microsoft.com/office/word/2010/wordprocessingShape">
                    <wps:wsp>
                      <wps:cNvSpPr txBox="1"/>
                      <wps:spPr>
                        <a:xfrm>
                          <a:off x="0" y="0"/>
                          <a:ext cx="5946775" cy="658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62814A">
                            <w:pPr>
                              <w:spacing w:before="156"/>
                              <w:ind w:firstLine="0" w:firstLineChars="0"/>
                              <w:jc w:val="distribute"/>
                              <w:rPr>
                                <w:rFonts w:hint="eastAsia"/>
                                <w:sz w:val="48"/>
                                <w:szCs w:val="48"/>
                              </w:rPr>
                            </w:pPr>
                            <w:r>
                              <w:rPr>
                                <w:rFonts w:hint="eastAsia" w:ascii="黑体" w:hAnsi="黑体" w:eastAsia="黑体" w:cs="黑体"/>
                                <w:sz w:val="48"/>
                                <w:szCs w:val="48"/>
                              </w:rPr>
                              <w:t>团体标准</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文本框 标准抬头" o:spid="_x0000_s1026" o:spt="202" type="#_x0000_t202" style="position:absolute;left:0pt;margin-left:-1.25pt;margin-top:12.95pt;height:51.85pt;width:468.25pt;z-index:251659264;v-text-anchor:middle;mso-width-relative:page;mso-height-relative:page;" filled="f" stroked="f" coordsize="21600,21600" o:gfxdata="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f/SUu2QAAAAkBAAAPAAAA&#10;AAAAAAEAIAAAACIAAABkcnMvZG93bnJldi54bWxQSwECFAAUAAAACACHTuJA2ptkCk0CAAB4BAAA&#10;DgAAAAAAAAABACAAAAAoAQAAZHJzL2Uyb0RvYy54bWxQSwUGAAAAAAYABgBZAQAA5wUAAAAA&#10;">
                <v:fill on="f" focussize="0,0"/>
                <v:stroke on="f" weight="0.5pt"/>
                <v:imagedata o:title=""/>
                <o:lock v:ext="edit" aspectratio="f"/>
                <v:textbox inset="0mm,0mm,0mm,0mm">
                  <w:txbxContent>
                    <w:p w14:paraId="6F62814A">
                      <w:pPr>
                        <w:spacing w:before="156"/>
                        <w:ind w:firstLine="0" w:firstLineChars="0"/>
                        <w:jc w:val="distribute"/>
                        <w:rPr>
                          <w:rFonts w:hint="eastAsia"/>
                          <w:sz w:val="48"/>
                          <w:szCs w:val="48"/>
                        </w:rPr>
                      </w:pPr>
                      <w:r>
                        <w:rPr>
                          <w:rFonts w:hint="eastAsia" w:ascii="黑体" w:hAnsi="黑体" w:eastAsia="黑体" w:cs="黑体"/>
                          <w:sz w:val="48"/>
                          <w:szCs w:val="48"/>
                        </w:rPr>
                        <w:t>团体标准</w:t>
                      </w:r>
                    </w:p>
                  </w:txbxContent>
                </v:textbox>
              </v:shape>
            </w:pict>
          </mc:Fallback>
        </mc:AlternateContent>
      </w:r>
    </w:p>
    <w:p w14:paraId="33295170">
      <w:pPr>
        <w:pStyle w:val="50"/>
        <w:ind w:firstLine="0" w:firstLineChars="0"/>
        <w:rPr>
          <w:rFonts w:hint="eastAsia" w:hAnsi="宋体" w:cs="宋体"/>
        </w:rPr>
      </w:pPr>
    </w:p>
    <w:p w14:paraId="6483279D">
      <w:pPr>
        <w:pStyle w:val="50"/>
        <w:ind w:firstLine="0" w:firstLineChars="0"/>
        <w:rPr>
          <w:rFonts w:hint="eastAsia" w:hAnsi="宋体" w:cs="宋体"/>
        </w:rPr>
      </w:pPr>
    </w:p>
    <w:p w14:paraId="3152AFA5">
      <w:pPr>
        <w:spacing w:before="156"/>
        <w:ind w:firstLine="422"/>
        <w:rPr>
          <w:rFonts w:hint="eastAsia"/>
        </w:rPr>
      </w:pPr>
      <w:r>
        <w:rPr>
          <w:rFonts w:hint="eastAsia" w:cs="宋体"/>
          <w:b/>
          <w:bCs/>
        </w:rPr>
        <mc:AlternateContent>
          <mc:Choice Requires="wps">
            <w:drawing>
              <wp:anchor distT="0" distB="0" distL="114300" distR="114300" simplePos="0" relativeHeight="251660288" behindDoc="0" locked="0" layoutInCell="1" allowOverlap="1">
                <wp:simplePos x="0" y="0"/>
                <wp:positionH relativeFrom="column">
                  <wp:posOffset>-29210</wp:posOffset>
                </wp:positionH>
                <wp:positionV relativeFrom="paragraph">
                  <wp:posOffset>116205</wp:posOffset>
                </wp:positionV>
                <wp:extent cx="5952490" cy="365125"/>
                <wp:effectExtent l="0" t="0" r="0" b="0"/>
                <wp:wrapNone/>
                <wp:docPr id="6" name="文本框 标准编号" title="标准编号"/>
                <wp:cNvGraphicFramePr/>
                <a:graphic xmlns:a="http://schemas.openxmlformats.org/drawingml/2006/main">
                  <a:graphicData uri="http://schemas.microsoft.com/office/word/2010/wordprocessingShape">
                    <wps:wsp>
                      <wps:cNvSpPr txBox="1"/>
                      <wps:spPr>
                        <a:xfrm>
                          <a:off x="0" y="0"/>
                          <a:ext cx="5952490" cy="365125"/>
                        </a:xfrm>
                        <a:prstGeom prst="rect">
                          <a:avLst/>
                        </a:prstGeom>
                        <a:noFill/>
                        <a:ln w="6350">
                          <a:noFill/>
                        </a:ln>
                      </wps:spPr>
                      <wps:txbx>
                        <w:txbxContent>
                          <w:p w14:paraId="008DF888">
                            <w:pPr>
                              <w:spacing w:before="156"/>
                              <w:ind w:firstLine="560"/>
                              <w:jc w:val="right"/>
                              <w:rPr>
                                <w:rFonts w:hint="eastAsia" w:ascii="黑体" w:hAnsi="黑体" w:eastAsia="黑体" w:cs="黑体"/>
                                <w:sz w:val="28"/>
                                <w:szCs w:val="28"/>
                              </w:rPr>
                            </w:pPr>
                            <w:r>
                              <w:rPr>
                                <w:rFonts w:ascii="Times New Roman" w:hAnsi="Times New Roman" w:eastAsia="黑体" w:cs="Times New Roman"/>
                                <w:sz w:val="28"/>
                                <w:szCs w:val="28"/>
                              </w:rPr>
                              <w:t>T/CAGHP</w:t>
                            </w:r>
                            <w:r>
                              <w:rPr>
                                <w:rFonts w:hint="eastAsia" w:ascii="Times New Roman" w:hAnsi="Times New Roman" w:eastAsia="黑体" w:cs="Times New Roman"/>
                                <w:sz w:val="28"/>
                                <w:szCs w:val="28"/>
                              </w:rPr>
                              <w:t>ER</w:t>
                            </w:r>
                            <w:r>
                              <w:rPr>
                                <w:rFonts w:hint="eastAsia" w:ascii="黑体" w:hAnsi="黑体" w:eastAsia="黑体" w:cs="黑体"/>
                                <w:sz w:val="28"/>
                                <w:szCs w:val="28"/>
                              </w:rPr>
                              <w:t xml:space="preserve"> </w:t>
                            </w:r>
                            <w:r>
                              <w:rPr>
                                <w:rFonts w:hint="eastAsia" w:cs="Times New Roman"/>
                                <w:kern w:val="0"/>
                                <w:sz w:val="28"/>
                                <w:szCs w:val="28"/>
                              </w:rPr>
                              <w:t>XXX—XXXX</w:t>
                            </w: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id="文本框 标准编号" o:spid="_x0000_s1026" o:spt="202" type="#_x0000_t202" style="position:absolute;left:0pt;margin-left:-2.3pt;margin-top:9.15pt;height:28.75pt;width:468.7pt;z-index:251660288;v-text-anchor:middle;mso-width-relative:page;mso-height-relative:page;" filled="f" stroked="f" coordsize="21600,21600" o:gfxdata="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GUZzjjbAAAACAEA&#10;AA8AAAAAAAAAAQAgAAAAIgAAAGRycy9kb3ducmV2LnhtbFBLAQIUABQAAAAIAIdO4kDvJMAMUAIA&#10;AIAEAAAOAAAAAAAAAAEAIAAAACoBAABkcnMvZTJvRG9jLnhtbFBLBQYAAAAABgAGAFkBAADsBQAA&#10;AAA=&#10;">
                <v:fill on="f" focussize="0,0"/>
                <v:stroke on="f" weight="0.5pt"/>
                <v:imagedata o:title=""/>
                <o:lock v:ext="edit" aspectratio="f"/>
                <v:textbox inset="1mm,0mm,1mm,0mm">
                  <w:txbxContent>
                    <w:p w14:paraId="008DF888">
                      <w:pPr>
                        <w:spacing w:before="156"/>
                        <w:ind w:firstLine="560"/>
                        <w:jc w:val="right"/>
                        <w:rPr>
                          <w:rFonts w:hint="eastAsia" w:ascii="黑体" w:hAnsi="黑体" w:eastAsia="黑体" w:cs="黑体"/>
                          <w:sz w:val="28"/>
                          <w:szCs w:val="28"/>
                        </w:rPr>
                      </w:pPr>
                      <w:r>
                        <w:rPr>
                          <w:rFonts w:ascii="Times New Roman" w:hAnsi="Times New Roman" w:eastAsia="黑体" w:cs="Times New Roman"/>
                          <w:sz w:val="28"/>
                          <w:szCs w:val="28"/>
                        </w:rPr>
                        <w:t>T/CAGHP</w:t>
                      </w:r>
                      <w:r>
                        <w:rPr>
                          <w:rFonts w:hint="eastAsia" w:ascii="Times New Roman" w:hAnsi="Times New Roman" w:eastAsia="黑体" w:cs="Times New Roman"/>
                          <w:sz w:val="28"/>
                          <w:szCs w:val="28"/>
                        </w:rPr>
                        <w:t>ER</w:t>
                      </w:r>
                      <w:r>
                        <w:rPr>
                          <w:rFonts w:hint="eastAsia" w:ascii="黑体" w:hAnsi="黑体" w:eastAsia="黑体" w:cs="黑体"/>
                          <w:sz w:val="28"/>
                          <w:szCs w:val="28"/>
                        </w:rPr>
                        <w:t xml:space="preserve"> </w:t>
                      </w:r>
                      <w:r>
                        <w:rPr>
                          <w:rFonts w:hint="eastAsia" w:cs="Times New Roman"/>
                          <w:kern w:val="0"/>
                          <w:sz w:val="28"/>
                          <w:szCs w:val="28"/>
                        </w:rPr>
                        <w:t>XXX—XXXX</w:t>
                      </w:r>
                    </w:p>
                  </w:txbxContent>
                </v:textbox>
              </v:shape>
            </w:pict>
          </mc:Fallback>
        </mc:AlternateContent>
      </w:r>
    </w:p>
    <w:p w14:paraId="348FCEA5">
      <w:pPr>
        <w:spacing w:before="156"/>
        <w:ind w:firstLine="420"/>
        <w:rPr>
          <w:rFonts w:hint="eastAsia"/>
        </w:rPr>
      </w:pPr>
    </w:p>
    <w:p w14:paraId="63250878">
      <w:pPr>
        <w:spacing w:before="156"/>
        <w:ind w:firstLine="420"/>
        <w:rPr>
          <w:rFonts w:hint="eastAsia"/>
        </w:rPr>
      </w:pPr>
    </w:p>
    <w:tbl>
      <w:tblPr>
        <w:tblStyle w:val="17"/>
        <w:tblW w:w="0" w:type="auto"/>
        <w:tblInd w:w="0" w:type="dxa"/>
        <w:tblBorders>
          <w:top w:val="single" w:color="000000"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06F09BBD">
        <w:tblPrEx>
          <w:tblBorders>
            <w:top w:val="single" w:color="000000"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tcPr>
          <w:p w14:paraId="0CBD64D0">
            <w:pPr>
              <w:pStyle w:val="50"/>
              <w:ind w:firstLine="0" w:firstLineChars="0"/>
              <w:rPr>
                <w:rFonts w:hint="eastAsia" w:ascii="黑体" w:hAnsi="黑体" w:eastAsia="黑体"/>
                <w:sz w:val="48"/>
                <w:szCs w:val="48"/>
              </w:rPr>
            </w:pPr>
          </w:p>
        </w:tc>
      </w:tr>
    </w:tbl>
    <w:p w14:paraId="2AC307D6">
      <w:pPr>
        <w:spacing w:before="156"/>
        <w:ind w:firstLine="0" w:firstLineChars="0"/>
        <w:rPr>
          <w:rFonts w:hint="eastAsia"/>
        </w:rPr>
      </w:pPr>
    </w:p>
    <w:p w14:paraId="6F03EE15">
      <w:pPr>
        <w:spacing w:before="156"/>
        <w:ind w:firstLine="420"/>
        <w:rPr>
          <w:rFonts w:hint="eastAsia"/>
        </w:rPr>
      </w:pPr>
    </w:p>
    <w:p w14:paraId="231AEBA2">
      <w:pPr>
        <w:spacing w:before="156"/>
        <w:ind w:firstLine="420"/>
        <w:rPr>
          <w:rFonts w:hint="eastAsia"/>
        </w:rPr>
      </w:pPr>
    </w:p>
    <w:p w14:paraId="54ACA9B5">
      <w:pPr>
        <w:spacing w:before="156"/>
        <w:ind w:firstLine="420"/>
        <w:rPr>
          <w:rFonts w:hint="eastAsia"/>
        </w:rPr>
      </w:pPr>
    </w:p>
    <w:p w14:paraId="41CE45C9">
      <w:pPr>
        <w:spacing w:before="156"/>
        <w:ind w:firstLine="420"/>
        <w:rPr>
          <w:rFonts w:hint="eastAsia"/>
        </w:rPr>
      </w:pPr>
    </w:p>
    <w:p w14:paraId="42B57370">
      <w:pPr>
        <w:spacing w:before="156"/>
        <w:ind w:firstLine="420"/>
        <w:rPr>
          <w:rFonts w:hint="eastAsia"/>
        </w:rPr>
      </w:pPr>
    </w:p>
    <w:p w14:paraId="1AD221C2">
      <w:pPr>
        <w:spacing w:before="156"/>
        <w:ind w:firstLine="420"/>
        <w:rPr>
          <w:rFonts w:hint="eastAsia"/>
        </w:rPr>
      </w:pPr>
    </w:p>
    <w:p w14:paraId="6E94B6B5">
      <w:pPr>
        <w:spacing w:before="156"/>
        <w:ind w:firstLine="420"/>
        <w:rPr>
          <w:rFonts w:hint="eastAsia"/>
        </w:rPr>
      </w:pPr>
    </w:p>
    <w:p w14:paraId="50D4ADA5">
      <w:pPr>
        <w:spacing w:before="156"/>
        <w:ind w:firstLine="420"/>
        <w:rPr>
          <w:rFonts w:hint="eastAsia"/>
        </w:rPr>
      </w:pPr>
    </w:p>
    <w:p w14:paraId="7E06F65F">
      <w:pPr>
        <w:spacing w:before="156"/>
        <w:ind w:firstLine="420"/>
        <w:rPr>
          <w:rFonts w:hint="eastAsia"/>
        </w:rPr>
      </w:pPr>
    </w:p>
    <w:p w14:paraId="6F26C4DC">
      <w:pPr>
        <w:spacing w:before="156"/>
        <w:ind w:firstLine="420"/>
        <w:rPr>
          <w:rFonts w:hint="eastAsia"/>
        </w:rPr>
      </w:pPr>
    </w:p>
    <w:p w14:paraId="5BFCCE5A">
      <w:pPr>
        <w:spacing w:before="156"/>
        <w:ind w:firstLine="420"/>
        <w:rPr>
          <w:rFonts w:hint="eastAsia"/>
        </w:rPr>
      </w:pPr>
    </w:p>
    <w:p w14:paraId="4F98622B">
      <w:pPr>
        <w:spacing w:before="156"/>
        <w:ind w:firstLine="420"/>
        <w:rPr>
          <w:rFonts w:hint="eastAsia"/>
        </w:rPr>
      </w:pPr>
    </w:p>
    <w:p w14:paraId="52F58E6B">
      <w:pPr>
        <w:spacing w:before="156"/>
        <w:ind w:firstLine="420"/>
        <w:rPr>
          <w:rFonts w:hint="eastAsia"/>
        </w:rPr>
      </w:pPr>
    </w:p>
    <w:p w14:paraId="6AEF0E03">
      <w:pPr>
        <w:spacing w:before="156"/>
        <w:ind w:firstLine="420"/>
        <w:rPr>
          <w:rFonts w:hint="eastAsia"/>
        </w:rPr>
      </w:pPr>
    </w:p>
    <w:p w14:paraId="67F6FA88">
      <w:pPr>
        <w:spacing w:before="156"/>
        <w:ind w:firstLine="420"/>
        <w:rPr>
          <w:rFonts w:hint="eastAsia"/>
        </w:rPr>
      </w:pPr>
    </w:p>
    <w:p w14:paraId="3B5F193B">
      <w:pPr>
        <w:spacing w:before="156"/>
        <w:ind w:firstLine="420"/>
        <w:rPr>
          <w:rFonts w:hint="eastAsia"/>
        </w:rPr>
      </w:pPr>
    </w:p>
    <w:p w14:paraId="0AED04C1">
      <w:pPr>
        <w:tabs>
          <w:tab w:val="left" w:pos="2642"/>
        </w:tabs>
        <w:spacing w:before="156"/>
        <w:ind w:firstLine="0" w:firstLineChars="0"/>
        <w:jc w:val="left"/>
        <w:rPr>
          <w:rFonts w:hint="eastAsia"/>
        </w:rPr>
      </w:pPr>
    </w:p>
    <w:tbl>
      <w:tblPr>
        <w:tblStyle w:val="17"/>
        <w:tblW w:w="0" w:type="auto"/>
        <w:tblInd w:w="0" w:type="dxa"/>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012F9678">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tcPr>
          <w:p w14:paraId="497D20B0">
            <w:pPr>
              <w:spacing w:before="0" w:beforeLines="0"/>
              <w:ind w:firstLine="0" w:firstLineChars="0"/>
              <w:rPr>
                <w:rFonts w:hint="eastAsia" w:ascii="黑体" w:hAnsi="黑体" w:eastAsia="黑体"/>
                <w:sz w:val="28"/>
                <w:szCs w:val="28"/>
              </w:rPr>
            </w:pPr>
            <w:r>
              <w:rPr>
                <w:rFonts w:hint="eastAsia" w:ascii="黑体" w:hAnsi="黑体" w:eastAsia="黑体" w:cs="黑体"/>
                <w:sz w:val="28"/>
                <w:szCs w:val="28"/>
              </w:rPr>
              <w:t>XXXX-XX-XX 发布</w:t>
            </w:r>
            <w:r>
              <w:rPr>
                <w:rFonts w:hint="eastAsia" w:ascii="黑体" w:hAnsi="黑体" w:eastAsia="黑体"/>
                <w:sz w:val="28"/>
                <w:szCs w:val="28"/>
              </w:rPr>
              <w:t xml:space="preserve">                                   </w:t>
            </w:r>
            <w:r>
              <w:rPr>
                <w:rFonts w:hint="eastAsia" w:ascii="黑体" w:hAnsi="黑体" w:eastAsia="黑体" w:cs="黑体"/>
                <w:sz w:val="28"/>
                <w:szCs w:val="28"/>
              </w:rPr>
              <w:t>XXXX-XX-XX</w:t>
            </w:r>
            <w:r>
              <w:rPr>
                <w:rFonts w:hint="eastAsia" w:ascii="黑体" w:hAnsi="黑体" w:eastAsia="黑体" w:cs="黑体"/>
                <w:sz w:val="28"/>
              </w:rPr>
              <w:t xml:space="preserve"> 实施</w:t>
            </w:r>
          </w:p>
        </w:tc>
      </w:tr>
    </w:tbl>
    <w:p w14:paraId="4573A0CF">
      <w:pPr>
        <w:tabs>
          <w:tab w:val="left" w:pos="2642"/>
        </w:tabs>
        <w:spacing w:before="156"/>
        <w:ind w:firstLine="420"/>
        <w:jc w:val="left"/>
        <w:rPr>
          <w:rFonts w:hint="eastAsia"/>
        </w:rPr>
      </w:pPr>
    </w:p>
    <w:p w14:paraId="623F6C1F">
      <w:pPr>
        <w:tabs>
          <w:tab w:val="left" w:pos="2642"/>
        </w:tabs>
        <w:spacing w:before="156"/>
        <w:ind w:firstLine="0" w:firstLineChars="0"/>
        <w:jc w:val="center"/>
        <w:rPr>
          <w:rFonts w:hint="eastAsia"/>
        </w:rPr>
        <w:sectPr>
          <w:headerReference r:id="rId7" w:type="first"/>
          <w:footerReference r:id="rId10" w:type="first"/>
          <w:headerReference r:id="rId5" w:type="default"/>
          <w:footerReference r:id="rId8" w:type="default"/>
          <w:headerReference r:id="rId6" w:type="even"/>
          <w:footerReference r:id="rId9" w:type="even"/>
          <w:pgSz w:w="11906" w:h="16838"/>
          <w:pgMar w:top="567" w:right="1417" w:bottom="1134" w:left="1417" w:header="850" w:footer="850" w:gutter="0"/>
          <w:pgNumType w:fmt="upperRoman"/>
          <w:cols w:space="0" w:num="1"/>
          <w:docGrid w:type="lines" w:linePitch="312" w:charSpace="0"/>
        </w:sectPr>
      </w:pPr>
      <w:bookmarkStart w:id="0" w:name="OLE_LINK17"/>
      <w:r>
        <w:rPr>
          <w:rFonts w:hint="eastAsia" w:ascii="Times New Roman" w:eastAsia="黑体"/>
          <w:sz w:val="28"/>
          <w:szCs w:val="28"/>
        </w:rPr>
        <w:t>中国地质灾害防治与生态修复协会</w:t>
      </w:r>
      <w:bookmarkEnd w:id="0"/>
      <w:r>
        <w:rPr>
          <w:rFonts w:hint="eastAsia" w:ascii="Times New Roman" w:eastAsia="黑体"/>
          <w:sz w:val="28"/>
          <w:szCs w:val="28"/>
        </w:rPr>
        <w:t xml:space="preserve">  发布</w:t>
      </w:r>
    </w:p>
    <w:p w14:paraId="74667604">
      <w:pPr>
        <w:adjustRightInd/>
        <w:snapToGrid/>
        <w:spacing w:before="640" w:beforeLines="0" w:after="560" w:line="460" w:lineRule="exact"/>
        <w:ind w:firstLine="0" w:firstLineChars="0"/>
        <w:jc w:val="center"/>
        <w:outlineLvl w:val="0"/>
        <w:rPr>
          <w:rFonts w:hint="eastAsia"/>
        </w:rPr>
      </w:pPr>
      <w:bookmarkStart w:id="1" w:name="_Toc10578"/>
      <w:bookmarkStart w:id="2" w:name="_Toc17096"/>
      <w:r>
        <w:rPr>
          <w:rFonts w:hint="eastAsia" w:ascii="黑体" w:hAnsi="黑体" w:eastAsia="黑体" w:cs="黑体"/>
          <w:sz w:val="32"/>
          <w:szCs w:val="32"/>
        </w:rPr>
        <w:t>目</w:t>
      </w:r>
      <w:bookmarkStart w:id="3" w:name="OLE_LINK13"/>
      <w:r>
        <w:rPr>
          <w:rFonts w:hint="eastAsia"/>
        </w:rPr>
        <w:t>  </w:t>
      </w:r>
      <w:bookmarkEnd w:id="3"/>
      <w:r>
        <w:rPr>
          <w:rFonts w:hint="eastAsia" w:ascii="黑体" w:hAnsi="黑体" w:eastAsia="黑体" w:cs="黑体"/>
          <w:sz w:val="32"/>
          <w:szCs w:val="32"/>
        </w:rPr>
        <w:t>次</w:t>
      </w:r>
      <w:bookmarkEnd w:id="1"/>
      <w:bookmarkEnd w:id="2"/>
    </w:p>
    <w:sdt>
      <w:sdtPr>
        <w:id w:val="147473977"/>
        <w15:color w:val="DBDBDB"/>
        <w:docPartObj>
          <w:docPartGallery w:val="Table of Contents"/>
          <w:docPartUnique/>
        </w:docPartObj>
      </w:sdtPr>
      <w:sdtEndPr>
        <w:rPr>
          <w:rFonts w:cs="宋体"/>
        </w:rPr>
      </w:sdtEndPr>
      <w:sdtContent>
        <w:p w14:paraId="04CE5EC9">
          <w:pPr>
            <w:spacing w:before="0" w:beforeLines="0"/>
            <w:ind w:firstLine="0" w:firstLineChars="0"/>
            <w:jc w:val="center"/>
            <w:rPr>
              <w:rFonts w:hint="eastAsia"/>
            </w:rPr>
          </w:pPr>
        </w:p>
        <w:p w14:paraId="6D7C5B3C">
          <w:pPr>
            <w:pStyle w:val="13"/>
            <w:tabs>
              <w:tab w:val="right" w:leader="dot" w:pos="9065"/>
            </w:tabs>
            <w:spacing w:before="60" w:beforeLines="25" w:after="60" w:afterLines="25"/>
            <w:ind w:firstLine="0" w:firstLineChars="0"/>
            <w:jc w:val="left"/>
            <w:rPr>
              <w:rFonts w:hint="eastAsia" w:cs="宋体"/>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TOC \o "1-2" \h \u </w:instrText>
          </w:r>
          <w:r>
            <w:rPr>
              <w:rFonts w:hint="eastAsia" w:asciiTheme="minorEastAsia" w:hAnsiTheme="minorEastAsia" w:eastAsiaTheme="minorEastAsia" w:cstheme="minorEastAsia"/>
            </w:rPr>
            <w:fldChar w:fldCharType="separate"/>
          </w:r>
          <w:r>
            <w:fldChar w:fldCharType="begin"/>
          </w:r>
          <w:r>
            <w:instrText xml:space="preserve"> HYPERLINK \l "_Toc31907" </w:instrText>
          </w:r>
          <w:r>
            <w:fldChar w:fldCharType="separate"/>
          </w:r>
          <w:r>
            <w:rPr>
              <w:rFonts w:hint="eastAsia" w:cs="宋体"/>
            </w:rPr>
            <w:t>前  言</w:t>
          </w:r>
          <w:r>
            <w:rPr>
              <w:rFonts w:hint="eastAsia" w:cs="宋体"/>
            </w:rPr>
            <w:tab/>
          </w:r>
          <w:r>
            <w:rPr>
              <w:rFonts w:hint="eastAsia" w:cs="宋体"/>
            </w:rPr>
            <w:fldChar w:fldCharType="begin"/>
          </w:r>
          <w:r>
            <w:rPr>
              <w:rFonts w:hint="eastAsia" w:cs="宋体"/>
            </w:rPr>
            <w:instrText xml:space="preserve"> PAGEREF _Toc31907 \h </w:instrText>
          </w:r>
          <w:r>
            <w:rPr>
              <w:rFonts w:hint="eastAsia" w:cs="宋体"/>
            </w:rPr>
            <w:fldChar w:fldCharType="separate"/>
          </w:r>
          <w:r>
            <w:rPr>
              <w:rFonts w:hint="eastAsia" w:cs="宋体"/>
            </w:rPr>
            <w:t>III</w:t>
          </w:r>
          <w:r>
            <w:rPr>
              <w:rFonts w:hint="eastAsia" w:cs="宋体"/>
            </w:rPr>
            <w:fldChar w:fldCharType="end"/>
          </w:r>
          <w:r>
            <w:rPr>
              <w:rFonts w:hint="eastAsia" w:cs="宋体"/>
            </w:rPr>
            <w:fldChar w:fldCharType="end"/>
          </w:r>
        </w:p>
        <w:p w14:paraId="620D444F">
          <w:pPr>
            <w:pStyle w:val="13"/>
            <w:tabs>
              <w:tab w:val="right" w:leader="dot" w:pos="9065"/>
            </w:tabs>
            <w:spacing w:before="60" w:beforeLines="25" w:after="60" w:afterLines="25"/>
            <w:ind w:firstLine="0" w:firstLineChars="0"/>
            <w:jc w:val="left"/>
            <w:rPr>
              <w:rFonts w:hint="eastAsia" w:cs="宋体"/>
            </w:rPr>
          </w:pPr>
          <w:r>
            <w:fldChar w:fldCharType="begin"/>
          </w:r>
          <w:r>
            <w:instrText xml:space="preserve"> HYPERLINK \l "_Toc16153" </w:instrText>
          </w:r>
          <w:r>
            <w:fldChar w:fldCharType="separate"/>
          </w:r>
          <w:r>
            <w:rPr>
              <w:rFonts w:hint="eastAsia" w:cs="宋体"/>
              <w:snapToGrid w:val="0"/>
              <w:szCs w:val="21"/>
            </w:rPr>
            <w:t xml:space="preserve">1 </w:t>
          </w:r>
          <w:r>
            <w:rPr>
              <w:rFonts w:hint="eastAsia" w:cs="宋体"/>
            </w:rPr>
            <w:t>范围</w:t>
          </w:r>
          <w:r>
            <w:rPr>
              <w:rFonts w:hint="eastAsia" w:cs="宋体"/>
            </w:rPr>
            <w:tab/>
          </w:r>
          <w:r>
            <w:rPr>
              <w:rFonts w:hint="eastAsia" w:cs="宋体"/>
            </w:rPr>
            <w:fldChar w:fldCharType="begin"/>
          </w:r>
          <w:r>
            <w:rPr>
              <w:rFonts w:hint="eastAsia" w:cs="宋体"/>
            </w:rPr>
            <w:instrText xml:space="preserve"> PAGEREF _Toc16153 \h </w:instrText>
          </w:r>
          <w:r>
            <w:rPr>
              <w:rFonts w:hint="eastAsia" w:cs="宋体"/>
            </w:rPr>
            <w:fldChar w:fldCharType="separate"/>
          </w:r>
          <w:r>
            <w:rPr>
              <w:rFonts w:hint="eastAsia" w:cs="宋体"/>
            </w:rPr>
            <w:t>1</w:t>
          </w:r>
          <w:r>
            <w:rPr>
              <w:rFonts w:hint="eastAsia" w:cs="宋体"/>
            </w:rPr>
            <w:fldChar w:fldCharType="end"/>
          </w:r>
          <w:r>
            <w:rPr>
              <w:rFonts w:hint="eastAsia" w:cs="宋体"/>
            </w:rPr>
            <w:fldChar w:fldCharType="end"/>
          </w:r>
        </w:p>
        <w:p w14:paraId="38A87730">
          <w:pPr>
            <w:pStyle w:val="13"/>
            <w:tabs>
              <w:tab w:val="right" w:leader="dot" w:pos="9065"/>
            </w:tabs>
            <w:spacing w:before="60" w:beforeLines="25" w:after="60" w:afterLines="25"/>
            <w:ind w:firstLine="0" w:firstLineChars="0"/>
            <w:jc w:val="left"/>
            <w:rPr>
              <w:rFonts w:hint="eastAsia" w:cs="宋体"/>
            </w:rPr>
          </w:pPr>
          <w:r>
            <w:fldChar w:fldCharType="begin"/>
          </w:r>
          <w:r>
            <w:instrText xml:space="preserve"> HYPERLINK \l "_Toc21702" </w:instrText>
          </w:r>
          <w:r>
            <w:fldChar w:fldCharType="separate"/>
          </w:r>
          <w:r>
            <w:rPr>
              <w:rFonts w:hint="eastAsia" w:cs="宋体"/>
              <w:snapToGrid w:val="0"/>
              <w:szCs w:val="21"/>
            </w:rPr>
            <w:t>2 规范性引用文件</w:t>
          </w:r>
          <w:r>
            <w:rPr>
              <w:rFonts w:hint="eastAsia" w:cs="宋体"/>
            </w:rPr>
            <w:tab/>
          </w:r>
          <w:r>
            <w:rPr>
              <w:rFonts w:hint="eastAsia" w:cs="宋体"/>
            </w:rPr>
            <w:fldChar w:fldCharType="begin"/>
          </w:r>
          <w:r>
            <w:rPr>
              <w:rFonts w:hint="eastAsia" w:cs="宋体"/>
            </w:rPr>
            <w:instrText xml:space="preserve"> PAGEREF _Toc21702 \h </w:instrText>
          </w:r>
          <w:r>
            <w:rPr>
              <w:rFonts w:hint="eastAsia" w:cs="宋体"/>
            </w:rPr>
            <w:fldChar w:fldCharType="separate"/>
          </w:r>
          <w:r>
            <w:rPr>
              <w:rFonts w:hint="eastAsia" w:cs="宋体"/>
            </w:rPr>
            <w:t>1</w:t>
          </w:r>
          <w:r>
            <w:rPr>
              <w:rFonts w:hint="eastAsia" w:cs="宋体"/>
            </w:rPr>
            <w:fldChar w:fldCharType="end"/>
          </w:r>
          <w:r>
            <w:rPr>
              <w:rFonts w:hint="eastAsia" w:cs="宋体"/>
            </w:rPr>
            <w:fldChar w:fldCharType="end"/>
          </w:r>
        </w:p>
        <w:p w14:paraId="387B7D09">
          <w:pPr>
            <w:pStyle w:val="13"/>
            <w:tabs>
              <w:tab w:val="right" w:leader="dot" w:pos="9065"/>
            </w:tabs>
            <w:spacing w:before="60" w:beforeLines="25" w:after="60" w:afterLines="25"/>
            <w:ind w:firstLine="0" w:firstLineChars="0"/>
            <w:jc w:val="left"/>
            <w:rPr>
              <w:rFonts w:hint="eastAsia" w:cs="宋体"/>
            </w:rPr>
          </w:pPr>
          <w:r>
            <w:fldChar w:fldCharType="begin"/>
          </w:r>
          <w:r>
            <w:instrText xml:space="preserve"> HYPERLINK \l "_Toc24191" </w:instrText>
          </w:r>
          <w:r>
            <w:fldChar w:fldCharType="separate"/>
          </w:r>
          <w:r>
            <w:rPr>
              <w:rFonts w:hint="eastAsia" w:cs="宋体"/>
              <w:snapToGrid w:val="0"/>
              <w:szCs w:val="21"/>
            </w:rPr>
            <w:t>3 术语和定义</w:t>
          </w:r>
          <w:r>
            <w:rPr>
              <w:rFonts w:hint="eastAsia" w:cs="宋体"/>
            </w:rPr>
            <w:tab/>
          </w:r>
          <w:r>
            <w:rPr>
              <w:rFonts w:hint="eastAsia" w:cs="宋体"/>
            </w:rPr>
            <w:fldChar w:fldCharType="begin"/>
          </w:r>
          <w:r>
            <w:rPr>
              <w:rFonts w:hint="eastAsia" w:cs="宋体"/>
            </w:rPr>
            <w:instrText xml:space="preserve"> PAGEREF _Toc24191 \h </w:instrText>
          </w:r>
          <w:r>
            <w:rPr>
              <w:rFonts w:hint="eastAsia" w:cs="宋体"/>
            </w:rPr>
            <w:fldChar w:fldCharType="separate"/>
          </w:r>
          <w:r>
            <w:rPr>
              <w:rFonts w:hint="eastAsia" w:cs="宋体"/>
            </w:rPr>
            <w:t>1</w:t>
          </w:r>
          <w:r>
            <w:rPr>
              <w:rFonts w:hint="eastAsia" w:cs="宋体"/>
            </w:rPr>
            <w:fldChar w:fldCharType="end"/>
          </w:r>
          <w:r>
            <w:rPr>
              <w:rFonts w:hint="eastAsia" w:cs="宋体"/>
            </w:rPr>
            <w:fldChar w:fldCharType="end"/>
          </w:r>
        </w:p>
        <w:p w14:paraId="3B0FE2F4">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"_Toc31554" </w:instrText>
          </w:r>
          <w:r>
            <w:fldChar w:fldCharType="separate"/>
          </w:r>
          <w:r>
            <w:rPr>
              <w:rFonts w:hint="eastAsia" w:cs="宋体"/>
              <w:snapToGrid w:val="0"/>
              <w:szCs w:val="21"/>
            </w:rPr>
            <w:t xml:space="preserve">3.1 </w:t>
          </w:r>
          <w:r>
            <w:rPr>
              <w:rFonts w:hint="eastAsia" w:cs="宋体"/>
              <w:snapToGrid w:val="0"/>
              <w:kern w:val="0"/>
              <w:szCs w:val="21"/>
            </w:rPr>
            <w:t>国土空间生态修复</w:t>
          </w:r>
          <w:r>
            <w:rPr>
              <w:rFonts w:hint="eastAsia" w:cs="宋体"/>
              <w:snapToGrid w:val="0"/>
              <w:szCs w:val="21"/>
            </w:rPr>
            <w:t xml:space="preserve"> </w:t>
          </w:r>
          <w:r>
            <w:rPr>
              <w:rFonts w:hint="eastAsia" w:cs="宋体"/>
              <w:snapToGrid w:val="0"/>
              <w:kern w:val="0"/>
              <w:szCs w:val="21"/>
            </w:rPr>
            <w:t>ecological restoration of territorial space</w:t>
          </w:r>
          <w:r>
            <w:rPr>
              <w:rFonts w:hint="eastAsia" w:cs="宋体"/>
            </w:rPr>
            <w:tab/>
          </w:r>
          <w:r>
            <w:rPr>
              <w:rFonts w:hint="eastAsia" w:cs="宋体"/>
            </w:rPr>
            <w:fldChar w:fldCharType="begin"/>
          </w:r>
          <w:r>
            <w:rPr>
              <w:rFonts w:hint="eastAsia" w:cs="宋体"/>
            </w:rPr>
            <w:instrText xml:space="preserve"> PAGEREF _Toc31554 \h </w:instrText>
          </w:r>
          <w:r>
            <w:rPr>
              <w:rFonts w:hint="eastAsia" w:cs="宋体"/>
            </w:rPr>
            <w:fldChar w:fldCharType="separate"/>
          </w:r>
          <w:r>
            <w:rPr>
              <w:rFonts w:hint="eastAsia" w:cs="宋体"/>
            </w:rPr>
            <w:t>1</w:t>
          </w:r>
          <w:r>
            <w:rPr>
              <w:rFonts w:hint="eastAsia" w:cs="宋体"/>
            </w:rPr>
            <w:fldChar w:fldCharType="end"/>
          </w:r>
          <w:r>
            <w:rPr>
              <w:rFonts w:hint="eastAsia" w:cs="宋体"/>
            </w:rPr>
            <w:fldChar w:fldCharType="end"/>
          </w:r>
        </w:p>
        <w:p w14:paraId="618E8DF2">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"_Toc26785" </w:instrText>
          </w:r>
          <w:r>
            <w:fldChar w:fldCharType="separate"/>
          </w:r>
          <w:r>
            <w:rPr>
              <w:rFonts w:hint="eastAsia" w:cs="宋体"/>
              <w:snapToGrid w:val="0"/>
              <w:kern w:val="0"/>
              <w:szCs w:val="21"/>
            </w:rPr>
            <w:t>3.2 评估基期</w:t>
          </w:r>
          <w:r>
            <w:rPr>
              <w:rFonts w:hint="eastAsia" w:cs="宋体"/>
              <w:snapToGrid w:val="0"/>
              <w:kern w:val="0"/>
              <w:szCs w:val="21"/>
              <w:lang w:val="en-US" w:eastAsia="zh-CN"/>
            </w:rPr>
            <w:t xml:space="preserve"> </w:t>
          </w:r>
          <w:r>
            <w:rPr>
              <w:rFonts w:hint="eastAsia" w:cs="宋体"/>
              <w:snapToGrid w:val="0"/>
              <w:kern w:val="0"/>
              <w:szCs w:val="21"/>
            </w:rPr>
            <w:t>evaluation base period</w:t>
          </w:r>
          <w:r>
            <w:rPr>
              <w:rFonts w:hint="eastAsia" w:cs="宋体"/>
            </w:rPr>
            <w:tab/>
          </w:r>
          <w:r>
            <w:rPr>
              <w:rFonts w:hint="eastAsia" w:cs="宋体"/>
            </w:rPr>
            <w:fldChar w:fldCharType="begin"/>
          </w:r>
          <w:r>
            <w:rPr>
              <w:rFonts w:hint="eastAsia" w:cs="宋体"/>
            </w:rPr>
            <w:instrText xml:space="preserve"> PAGEREF _Toc26785 \h </w:instrText>
          </w:r>
          <w:r>
            <w:rPr>
              <w:rFonts w:hint="eastAsia" w:cs="宋体"/>
            </w:rPr>
            <w:fldChar w:fldCharType="separate"/>
          </w:r>
          <w:r>
            <w:rPr>
              <w:rFonts w:hint="eastAsia" w:cs="宋体"/>
            </w:rPr>
            <w:t>1</w:t>
          </w:r>
          <w:r>
            <w:rPr>
              <w:rFonts w:hint="eastAsia" w:cs="宋体"/>
            </w:rPr>
            <w:fldChar w:fldCharType="end"/>
          </w:r>
          <w:r>
            <w:rPr>
              <w:rFonts w:hint="eastAsia" w:cs="宋体"/>
            </w:rPr>
            <w:fldChar w:fldCharType="end"/>
          </w:r>
        </w:p>
        <w:p w14:paraId="18DDF535">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"_Toc16259" </w:instrText>
          </w:r>
          <w:r>
            <w:fldChar w:fldCharType="separate"/>
          </w:r>
          <w:r>
            <w:rPr>
              <w:rFonts w:hint="eastAsia" w:cs="宋体"/>
              <w:snapToGrid w:val="0"/>
              <w:kern w:val="0"/>
              <w:szCs w:val="21"/>
            </w:rPr>
            <w:t>3.</w:t>
          </w:r>
          <w:r>
            <w:rPr>
              <w:rFonts w:hint="eastAsia" w:cs="宋体"/>
              <w:snapToGrid w:val="0"/>
              <w:kern w:val="0"/>
              <w:szCs w:val="21"/>
              <w:lang w:val="en-US" w:eastAsia="zh-CN"/>
            </w:rPr>
            <w:t>3</w:t>
          </w:r>
          <w:r>
            <w:rPr>
              <w:rFonts w:hint="eastAsia" w:cs="宋体"/>
              <w:snapToGrid w:val="0"/>
              <w:kern w:val="0"/>
              <w:szCs w:val="21"/>
            </w:rPr>
            <w:t xml:space="preserve"> 后期评估 post-evaluation</w:t>
          </w:r>
          <w:r>
            <w:rPr>
              <w:rFonts w:hint="eastAsia" w:cs="宋体"/>
            </w:rPr>
            <w:tab/>
          </w:r>
          <w:r>
            <w:rPr>
              <w:rFonts w:hint="eastAsia" w:cs="宋体"/>
              <w:lang w:val="en-US" w:eastAsia="zh-CN"/>
            </w:rPr>
            <w:t>1</w:t>
          </w:r>
          <w:r>
            <w:rPr>
              <w:rFonts w:hint="eastAsia" w:cs="宋体"/>
            </w:rPr>
            <w:fldChar w:fldCharType="end"/>
          </w:r>
        </w:p>
        <w:p w14:paraId="12731428">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"_Toc21035" </w:instrText>
          </w:r>
          <w:r>
            <w:fldChar w:fldCharType="separate"/>
          </w:r>
          <w:r>
            <w:rPr>
              <w:rFonts w:hint="eastAsia" w:cs="宋体"/>
              <w:snapToGrid w:val="0"/>
              <w:szCs w:val="21"/>
            </w:rPr>
            <w:t>3.</w:t>
          </w:r>
          <w:r>
            <w:rPr>
              <w:rFonts w:hint="eastAsia" w:cs="宋体"/>
              <w:snapToGrid w:val="0"/>
              <w:szCs w:val="21"/>
              <w:lang w:val="en-US" w:eastAsia="zh-CN"/>
            </w:rPr>
            <w:t>4</w:t>
          </w:r>
          <w:r>
            <w:rPr>
              <w:rFonts w:hint="eastAsia" w:cs="宋体"/>
              <w:snapToGrid w:val="0"/>
              <w:szCs w:val="21"/>
            </w:rPr>
            <w:t xml:space="preserve"> 生态系统服务 ecosystem services</w:t>
          </w:r>
          <w:bookmarkStart w:id="4" w:name="OLE_LINK22"/>
          <w:r>
            <w:rPr>
              <w:rFonts w:hint="eastAsia" w:cs="宋体"/>
            </w:rPr>
            <w:tab/>
          </w:r>
          <w:r>
            <w:rPr>
              <w:rFonts w:hint="eastAsia" w:cs="宋体"/>
            </w:rPr>
            <w:fldChar w:fldCharType="begin"/>
          </w:r>
          <w:r>
            <w:rPr>
              <w:rFonts w:hint="eastAsia" w:cs="宋体"/>
            </w:rPr>
            <w:instrText xml:space="preserve"> PAGEREF _Toc21035 \h </w:instrText>
          </w:r>
          <w:r>
            <w:rPr>
              <w:rFonts w:hint="eastAsia" w:cs="宋体"/>
            </w:rPr>
            <w:fldChar w:fldCharType="separate"/>
          </w:r>
          <w:r>
            <w:rPr>
              <w:rFonts w:hint="eastAsia" w:cs="宋体"/>
            </w:rPr>
            <w:t>1</w:t>
          </w:r>
          <w:r>
            <w:rPr>
              <w:rFonts w:hint="eastAsia" w:cs="宋体"/>
            </w:rPr>
            <w:fldChar w:fldCharType="end"/>
          </w:r>
          <w:bookmarkEnd w:id="4"/>
          <w:r>
            <w:rPr>
              <w:rFonts w:hint="eastAsia" w:cs="宋体"/>
            </w:rPr>
            <w:fldChar w:fldCharType="end"/>
          </w:r>
        </w:p>
        <w:p w14:paraId="111EB621">
          <w:pPr>
            <w:pStyle w:val="14"/>
            <w:tabs>
              <w:tab w:val="right" w:leader="dot" w:pos="9065"/>
            </w:tabs>
            <w:spacing w:before="0" w:beforeLines="0"/>
            <w:ind w:left="0" w:leftChars="0" w:firstLine="210" w:firstLineChars="100"/>
            <w:jc w:val="left"/>
          </w:pPr>
          <w:r>
            <w:rPr>
              <w:rFonts w:hint="eastAsia" w:cs="宋体"/>
              <w:snapToGrid w:val="0"/>
              <w:szCs w:val="21"/>
            </w:rPr>
            <w:t>3.</w:t>
          </w:r>
          <w:r>
            <w:rPr>
              <w:rFonts w:hint="eastAsia" w:cs="宋体"/>
              <w:snapToGrid w:val="0"/>
              <w:szCs w:val="21"/>
              <w:lang w:val="en-US" w:eastAsia="zh-CN"/>
            </w:rPr>
            <w:t>5</w:t>
          </w:r>
          <w:r>
            <w:rPr>
              <w:rFonts w:hint="eastAsia" w:cs="宋体"/>
              <w:snapToGrid w:val="0"/>
              <w:szCs w:val="21"/>
            </w:rPr>
            <w:t xml:space="preserve"> 景观格局 landscape pattern</w:t>
          </w:r>
          <w:r>
            <w:rPr>
              <w:rFonts w:hint="eastAsia" w:cs="宋体"/>
            </w:rPr>
            <w:tab/>
          </w:r>
          <w:r>
            <w:rPr>
              <w:rFonts w:hint="eastAsia" w:cs="宋体"/>
            </w:rPr>
            <w:fldChar w:fldCharType="begin"/>
          </w:r>
          <w:r>
            <w:rPr>
              <w:rFonts w:hint="eastAsia" w:cs="宋体"/>
            </w:rPr>
            <w:instrText xml:space="preserve"> PAGEREF _Toc21035 \h </w:instrText>
          </w:r>
          <w:r>
            <w:rPr>
              <w:rFonts w:hint="eastAsia" w:cs="宋体"/>
            </w:rPr>
            <w:fldChar w:fldCharType="separate"/>
          </w:r>
          <w:r>
            <w:rPr>
              <w:rFonts w:hint="eastAsia" w:cs="宋体"/>
            </w:rPr>
            <w:t>1</w:t>
          </w:r>
          <w:r>
            <w:rPr>
              <w:rFonts w:hint="eastAsia" w:cs="宋体"/>
            </w:rPr>
            <w:fldChar w:fldCharType="end"/>
          </w:r>
        </w:p>
        <w:p w14:paraId="761A7D5D">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"_Toc28591" </w:instrText>
          </w:r>
          <w:r>
            <w:fldChar w:fldCharType="separate"/>
          </w:r>
          <w:r>
            <w:rPr>
              <w:rFonts w:hint="eastAsia" w:cs="宋体"/>
              <w:snapToGrid w:val="0"/>
              <w:kern w:val="0"/>
              <w:szCs w:val="21"/>
            </w:rPr>
            <w:t>3.</w:t>
          </w:r>
          <w:r>
            <w:rPr>
              <w:rFonts w:hint="eastAsia" w:cs="宋体"/>
              <w:snapToGrid w:val="0"/>
              <w:kern w:val="0"/>
              <w:szCs w:val="21"/>
              <w:lang w:val="en-US" w:eastAsia="zh-CN"/>
            </w:rPr>
            <w:t>6</w:t>
          </w:r>
          <w:r>
            <w:rPr>
              <w:rFonts w:hint="eastAsia" w:cs="宋体"/>
              <w:snapToGrid w:val="0"/>
              <w:kern w:val="0"/>
              <w:szCs w:val="21"/>
            </w:rPr>
            <w:t xml:space="preserve"> 生态效果 ecological effects</w:t>
          </w:r>
          <w:r>
            <w:rPr>
              <w:rFonts w:hint="eastAsia" w:cs="宋体"/>
            </w:rPr>
            <w:tab/>
          </w:r>
          <w:r>
            <w:rPr>
              <w:rFonts w:hint="eastAsia" w:cs="宋体"/>
            </w:rPr>
            <w:fldChar w:fldCharType="begin"/>
          </w:r>
          <w:r>
            <w:rPr>
              <w:rFonts w:hint="eastAsia" w:cs="宋体"/>
            </w:rPr>
            <w:instrText xml:space="preserve"> PAGEREF _Toc28591 \h </w:instrText>
          </w:r>
          <w:r>
            <w:rPr>
              <w:rFonts w:hint="eastAsia" w:cs="宋体"/>
            </w:rPr>
            <w:fldChar w:fldCharType="separate"/>
          </w:r>
          <w:r>
            <w:rPr>
              <w:rFonts w:hint="eastAsia" w:cs="宋体"/>
            </w:rPr>
            <w:t>2</w:t>
          </w:r>
          <w:r>
            <w:rPr>
              <w:rFonts w:hint="eastAsia" w:cs="宋体"/>
            </w:rPr>
            <w:fldChar w:fldCharType="end"/>
          </w:r>
          <w:r>
            <w:rPr>
              <w:rFonts w:hint="eastAsia" w:cs="宋体"/>
            </w:rPr>
            <w:fldChar w:fldCharType="end"/>
          </w:r>
        </w:p>
        <w:p w14:paraId="1276E421">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"_Toc30166" </w:instrText>
          </w:r>
          <w:r>
            <w:fldChar w:fldCharType="separate"/>
          </w:r>
          <w:r>
            <w:rPr>
              <w:rFonts w:hint="eastAsia" w:cs="宋体"/>
              <w:snapToGrid w:val="0"/>
              <w:kern w:val="0"/>
              <w:szCs w:val="21"/>
            </w:rPr>
            <w:t>3.</w:t>
          </w:r>
          <w:r>
            <w:rPr>
              <w:rFonts w:hint="eastAsia" w:cs="宋体"/>
              <w:snapToGrid w:val="0"/>
              <w:kern w:val="0"/>
              <w:szCs w:val="21"/>
              <w:lang w:val="en-US" w:eastAsia="zh-CN"/>
            </w:rPr>
            <w:t>7</w:t>
          </w:r>
          <w:r>
            <w:rPr>
              <w:rFonts w:hint="eastAsia" w:cs="宋体"/>
              <w:snapToGrid w:val="0"/>
              <w:kern w:val="0"/>
              <w:szCs w:val="21"/>
            </w:rPr>
            <w:t xml:space="preserve"> 经济社会效果 socioeconomic effects</w:t>
          </w:r>
          <w:r>
            <w:rPr>
              <w:rFonts w:hint="eastAsia" w:cs="宋体"/>
            </w:rPr>
            <w:tab/>
          </w:r>
          <w:r>
            <w:rPr>
              <w:rFonts w:hint="eastAsia" w:cs="宋体"/>
            </w:rPr>
            <w:fldChar w:fldCharType="begin"/>
          </w:r>
          <w:r>
            <w:rPr>
              <w:rFonts w:hint="eastAsia" w:cs="宋体"/>
            </w:rPr>
            <w:instrText xml:space="preserve"> PAGEREF _Toc30166 \h </w:instrText>
          </w:r>
          <w:r>
            <w:rPr>
              <w:rFonts w:hint="eastAsia" w:cs="宋体"/>
            </w:rPr>
            <w:fldChar w:fldCharType="separate"/>
          </w:r>
          <w:r>
            <w:rPr>
              <w:rFonts w:hint="eastAsia" w:cs="宋体"/>
            </w:rPr>
            <w:t>2</w:t>
          </w:r>
          <w:r>
            <w:rPr>
              <w:rFonts w:hint="eastAsia" w:cs="宋体"/>
            </w:rPr>
            <w:fldChar w:fldCharType="end"/>
          </w:r>
          <w:r>
            <w:rPr>
              <w:rFonts w:hint="eastAsia" w:cs="宋体"/>
            </w:rPr>
            <w:fldChar w:fldCharType="end"/>
          </w:r>
        </w:p>
        <w:p w14:paraId="48E5B618">
          <w:pPr>
            <w:pStyle w:val="14"/>
            <w:tabs>
              <w:tab w:val="right" w:leader="dot" w:pos="9065"/>
            </w:tabs>
            <w:spacing w:before="0" w:beforeLines="0"/>
            <w:ind w:left="0" w:leftChars="0" w:firstLine="210" w:firstLineChars="100"/>
            <w:jc w:val="left"/>
            <w:rPr>
              <w:rFonts w:hint="eastAsia"/>
            </w:rPr>
          </w:pPr>
          <w:r>
            <w:fldChar w:fldCharType="begin"/>
          </w:r>
          <w:r>
            <w:instrText xml:space="preserve"> HYPERLINK \l "_Toc30166" </w:instrText>
          </w:r>
          <w:r>
            <w:fldChar w:fldCharType="separate"/>
          </w:r>
          <w:r>
            <w:rPr>
              <w:rFonts w:hint="eastAsia" w:cs="宋体"/>
              <w:snapToGrid w:val="0"/>
              <w:kern w:val="0"/>
              <w:szCs w:val="21"/>
            </w:rPr>
            <w:t>3.</w:t>
          </w:r>
          <w:r>
            <w:rPr>
              <w:rFonts w:hint="eastAsia" w:cs="宋体"/>
              <w:snapToGrid w:val="0"/>
              <w:kern w:val="0"/>
              <w:szCs w:val="21"/>
              <w:lang w:val="en-US" w:eastAsia="zh-CN"/>
            </w:rPr>
            <w:t>8</w:t>
          </w:r>
          <w:r>
            <w:rPr>
              <w:rFonts w:hint="eastAsia" w:cs="宋体"/>
              <w:snapToGrid w:val="0"/>
              <w:kern w:val="0"/>
              <w:szCs w:val="21"/>
            </w:rPr>
            <w:t xml:space="preserve"> </w:t>
          </w:r>
          <w:r>
            <w:rPr>
              <w:rFonts w:hint="eastAsia" w:cs="宋体"/>
              <w:snapToGrid w:val="0"/>
              <w:kern w:val="0"/>
              <w:szCs w:val="21"/>
              <w:lang w:val="en-US" w:eastAsia="zh-CN"/>
            </w:rPr>
            <w:t>综合</w:t>
          </w:r>
          <w:r>
            <w:rPr>
              <w:rFonts w:hint="eastAsia" w:cs="宋体"/>
              <w:snapToGrid w:val="0"/>
              <w:kern w:val="0"/>
              <w:szCs w:val="21"/>
            </w:rPr>
            <w:t>效果 comprehensive effects</w:t>
          </w:r>
          <w:r>
            <w:rPr>
              <w:rFonts w:hint="eastAsia" w:cs="宋体"/>
            </w:rPr>
            <w:tab/>
          </w:r>
          <w:r>
            <w:rPr>
              <w:rFonts w:hint="eastAsia" w:cs="宋体"/>
            </w:rPr>
            <w:fldChar w:fldCharType="begin"/>
          </w:r>
          <w:r>
            <w:rPr>
              <w:rFonts w:hint="eastAsia" w:cs="宋体"/>
            </w:rPr>
            <w:instrText xml:space="preserve"> PAGEREF _Toc30166 \h </w:instrText>
          </w:r>
          <w:r>
            <w:rPr>
              <w:rFonts w:hint="eastAsia" w:cs="宋体"/>
            </w:rPr>
            <w:fldChar w:fldCharType="separate"/>
          </w:r>
          <w:r>
            <w:rPr>
              <w:rFonts w:hint="eastAsia" w:cs="宋体"/>
            </w:rPr>
            <w:t>2</w:t>
          </w:r>
          <w:r>
            <w:rPr>
              <w:rFonts w:hint="eastAsia" w:cs="宋体"/>
            </w:rPr>
            <w:fldChar w:fldCharType="end"/>
          </w:r>
          <w:r>
            <w:rPr>
              <w:rFonts w:hint="eastAsia" w:cs="宋体"/>
            </w:rPr>
            <w:fldChar w:fldCharType="end"/>
          </w:r>
        </w:p>
        <w:p w14:paraId="01B656FE">
          <w:pPr>
            <w:pStyle w:val="13"/>
            <w:tabs>
              <w:tab w:val="right" w:leader="dot" w:pos="9065"/>
            </w:tabs>
            <w:spacing w:before="60" w:beforeLines="25" w:after="60" w:afterLines="25"/>
            <w:ind w:firstLine="0" w:firstLineChars="0"/>
            <w:jc w:val="left"/>
            <w:rPr>
              <w:rFonts w:hint="eastAsia" w:cs="宋体"/>
            </w:rPr>
          </w:pPr>
          <w:r>
            <w:fldChar w:fldCharType="begin"/>
          </w:r>
          <w:r>
            <w:instrText xml:space="preserve"> HYPERLINK \l "_Toc18315" </w:instrText>
          </w:r>
          <w:r>
            <w:fldChar w:fldCharType="separate"/>
          </w:r>
          <w:r>
            <w:rPr>
              <w:rFonts w:hint="eastAsia" w:cs="宋体"/>
            </w:rPr>
            <w:t>4 总体要求</w:t>
          </w:r>
          <w:r>
            <w:rPr>
              <w:rFonts w:hint="eastAsia" w:cs="宋体"/>
            </w:rPr>
            <w:tab/>
          </w:r>
          <w:r>
            <w:rPr>
              <w:rFonts w:hint="eastAsia" w:cs="宋体"/>
            </w:rPr>
            <w:fldChar w:fldCharType="begin"/>
          </w:r>
          <w:r>
            <w:rPr>
              <w:rFonts w:hint="eastAsia" w:cs="宋体"/>
            </w:rPr>
            <w:instrText xml:space="preserve"> PAGEREF _Toc18315 \h </w:instrText>
          </w:r>
          <w:r>
            <w:rPr>
              <w:rFonts w:hint="eastAsia" w:cs="宋体"/>
            </w:rPr>
            <w:fldChar w:fldCharType="separate"/>
          </w:r>
          <w:r>
            <w:rPr>
              <w:rFonts w:hint="eastAsia" w:cs="宋体"/>
            </w:rPr>
            <w:t>2</w:t>
          </w:r>
          <w:r>
            <w:rPr>
              <w:rFonts w:hint="eastAsia" w:cs="宋体"/>
            </w:rPr>
            <w:fldChar w:fldCharType="end"/>
          </w:r>
          <w:r>
            <w:rPr>
              <w:rFonts w:hint="eastAsia" w:cs="宋体"/>
            </w:rPr>
            <w:fldChar w:fldCharType="end"/>
          </w:r>
        </w:p>
        <w:p w14:paraId="4C00C7A1">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"_Toc27996" </w:instrText>
          </w:r>
          <w:r>
            <w:fldChar w:fldCharType="separate"/>
          </w:r>
          <w:r>
            <w:rPr>
              <w:rFonts w:hint="eastAsia" w:cs="宋体"/>
              <w:snapToGrid w:val="0"/>
              <w:szCs w:val="21"/>
            </w:rPr>
            <w:t xml:space="preserve">4.1 </w:t>
          </w:r>
          <w:r>
            <w:rPr>
              <w:rFonts w:hint="eastAsia" w:cs="宋体"/>
              <w:szCs w:val="21"/>
            </w:rPr>
            <w:t>目的</w:t>
          </w:r>
          <w:r>
            <w:rPr>
              <w:rFonts w:hint="eastAsia" w:cs="宋体"/>
            </w:rPr>
            <w:tab/>
          </w:r>
          <w:r>
            <w:rPr>
              <w:rFonts w:hint="eastAsia" w:cs="宋体"/>
            </w:rPr>
            <w:fldChar w:fldCharType="begin"/>
          </w:r>
          <w:r>
            <w:rPr>
              <w:rFonts w:hint="eastAsia" w:cs="宋体"/>
            </w:rPr>
            <w:instrText xml:space="preserve"> PAGEREF _Toc27996 \h </w:instrText>
          </w:r>
          <w:r>
            <w:rPr>
              <w:rFonts w:hint="eastAsia" w:cs="宋体"/>
            </w:rPr>
            <w:fldChar w:fldCharType="separate"/>
          </w:r>
          <w:r>
            <w:rPr>
              <w:rFonts w:hint="eastAsia" w:cs="宋体"/>
            </w:rPr>
            <w:t>2</w:t>
          </w:r>
          <w:r>
            <w:rPr>
              <w:rFonts w:hint="eastAsia" w:cs="宋体"/>
            </w:rPr>
            <w:fldChar w:fldCharType="end"/>
          </w:r>
          <w:r>
            <w:rPr>
              <w:rFonts w:hint="eastAsia" w:cs="宋体"/>
            </w:rPr>
            <w:fldChar w:fldCharType="end"/>
          </w:r>
        </w:p>
        <w:p w14:paraId="19D2649C">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"_Toc5326" </w:instrText>
          </w:r>
          <w:r>
            <w:fldChar w:fldCharType="separate"/>
          </w:r>
          <w:r>
            <w:rPr>
              <w:rFonts w:hint="eastAsia" w:cs="宋体"/>
              <w:snapToGrid w:val="0"/>
              <w:szCs w:val="21"/>
            </w:rPr>
            <w:t xml:space="preserve">4.2 </w:t>
          </w:r>
          <w:r>
            <w:rPr>
              <w:rFonts w:hint="eastAsia" w:cs="宋体"/>
              <w:szCs w:val="21"/>
            </w:rPr>
            <w:t>原则</w:t>
          </w:r>
          <w:r>
            <w:rPr>
              <w:rFonts w:hint="eastAsia" w:cs="宋体"/>
            </w:rPr>
            <w:tab/>
          </w:r>
          <w:r>
            <w:rPr>
              <w:rFonts w:hint="eastAsia" w:cs="宋体"/>
            </w:rPr>
            <w:fldChar w:fldCharType="begin"/>
          </w:r>
          <w:r>
            <w:rPr>
              <w:rFonts w:hint="eastAsia" w:cs="宋体"/>
            </w:rPr>
            <w:instrText xml:space="preserve"> PAGEREF _Toc5326 \h </w:instrText>
          </w:r>
          <w:r>
            <w:rPr>
              <w:rFonts w:hint="eastAsia" w:cs="宋体"/>
            </w:rPr>
            <w:fldChar w:fldCharType="separate"/>
          </w:r>
          <w:r>
            <w:rPr>
              <w:rFonts w:hint="eastAsia" w:cs="宋体"/>
            </w:rPr>
            <w:t>2</w:t>
          </w:r>
          <w:r>
            <w:rPr>
              <w:rFonts w:hint="eastAsia" w:cs="宋体"/>
            </w:rPr>
            <w:fldChar w:fldCharType="end"/>
          </w:r>
          <w:r>
            <w:rPr>
              <w:rFonts w:hint="eastAsia" w:cs="宋体"/>
            </w:rPr>
            <w:fldChar w:fldCharType="end"/>
          </w:r>
        </w:p>
        <w:p w14:paraId="288F5EAA">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"_Toc22203" </w:instrText>
          </w:r>
          <w:r>
            <w:fldChar w:fldCharType="separate"/>
          </w:r>
          <w:r>
            <w:rPr>
              <w:rFonts w:hint="eastAsia" w:cs="宋体"/>
              <w:snapToGrid w:val="0"/>
              <w:szCs w:val="21"/>
            </w:rPr>
            <w:t xml:space="preserve">4.3 </w:t>
          </w:r>
          <w:r>
            <w:rPr>
              <w:rFonts w:hint="eastAsia" w:cs="宋体"/>
              <w:szCs w:val="21"/>
            </w:rPr>
            <w:t>评估周期</w:t>
          </w:r>
          <w:r>
            <w:rPr>
              <w:rFonts w:hint="eastAsia" w:cs="宋体"/>
            </w:rPr>
            <w:tab/>
          </w:r>
          <w:r>
            <w:rPr>
              <w:rFonts w:hint="eastAsia" w:cs="宋体"/>
            </w:rPr>
            <w:fldChar w:fldCharType="begin"/>
          </w:r>
          <w:r>
            <w:rPr>
              <w:rFonts w:hint="eastAsia" w:cs="宋体"/>
            </w:rPr>
            <w:instrText xml:space="preserve"> PAGEREF _Toc22203 \h </w:instrText>
          </w:r>
          <w:r>
            <w:rPr>
              <w:rFonts w:hint="eastAsia" w:cs="宋体"/>
            </w:rPr>
            <w:fldChar w:fldCharType="separate"/>
          </w:r>
          <w:r>
            <w:rPr>
              <w:rFonts w:hint="eastAsia" w:cs="宋体"/>
            </w:rPr>
            <w:t>2</w:t>
          </w:r>
          <w:r>
            <w:rPr>
              <w:rFonts w:hint="eastAsia" w:cs="宋体"/>
            </w:rPr>
            <w:fldChar w:fldCharType="end"/>
          </w:r>
          <w:r>
            <w:rPr>
              <w:rFonts w:hint="eastAsia" w:cs="宋体"/>
            </w:rPr>
            <w:fldChar w:fldCharType="end"/>
          </w:r>
        </w:p>
        <w:p w14:paraId="71D403D4">
          <w:pPr>
            <w:pStyle w:val="14"/>
            <w:tabs>
              <w:tab w:val="right" w:leader="dot" w:pos="9065"/>
            </w:tabs>
            <w:spacing w:before="0" w:beforeLines="0"/>
            <w:ind w:left="0" w:leftChars="0" w:firstLine="210" w:firstLineChars="100"/>
            <w:jc w:val="left"/>
            <w:rPr>
              <w:rFonts w:hint="eastAsia" w:eastAsia="宋体" w:cs="宋体"/>
              <w:lang w:eastAsia="zh-CN"/>
            </w:rPr>
          </w:pPr>
          <w:r>
            <w:fldChar w:fldCharType="begin"/>
          </w:r>
          <w:r>
            <w:instrText xml:space="preserve"> HYPERLINK \l "_Toc8023" </w:instrText>
          </w:r>
          <w:r>
            <w:fldChar w:fldCharType="separate"/>
          </w:r>
          <w:r>
            <w:rPr>
              <w:rFonts w:hint="eastAsia" w:cs="宋体"/>
              <w:snapToGrid w:val="0"/>
              <w:szCs w:val="21"/>
            </w:rPr>
            <w:t>4.4 评估流程</w:t>
          </w:r>
          <w:r>
            <w:rPr>
              <w:rFonts w:hint="eastAsia" w:cs="宋体"/>
            </w:rPr>
            <w:tab/>
          </w:r>
          <w:r>
            <w:rPr>
              <w:rFonts w:hint="eastAsia" w:cs="宋体"/>
            </w:rPr>
            <w:fldChar w:fldCharType="end"/>
          </w:r>
          <w:r>
            <w:rPr>
              <w:rFonts w:hint="eastAsia" w:cs="宋体"/>
              <w:lang w:val="en-US" w:eastAsia="zh-CN"/>
            </w:rPr>
            <w:t>2</w:t>
          </w:r>
        </w:p>
        <w:p w14:paraId="601F097D">
          <w:pPr>
            <w:pStyle w:val="13"/>
            <w:tabs>
              <w:tab w:val="right" w:leader="dot" w:pos="9065"/>
            </w:tabs>
            <w:spacing w:before="60" w:beforeLines="25" w:after="60" w:afterLines="25"/>
            <w:ind w:firstLine="0" w:firstLineChars="0"/>
            <w:jc w:val="left"/>
            <w:rPr>
              <w:rFonts w:hint="eastAsia" w:cs="宋体"/>
            </w:rPr>
          </w:pPr>
          <w:r>
            <w:fldChar w:fldCharType="begin"/>
          </w:r>
          <w:r>
            <w:instrText xml:space="preserve"> HYPERLINK \l "_Toc13511" </w:instrText>
          </w:r>
          <w:r>
            <w:fldChar w:fldCharType="separate"/>
          </w:r>
          <w:r>
            <w:rPr>
              <w:rFonts w:hint="eastAsia" w:cs="宋体"/>
            </w:rPr>
            <w:t>5 评估内容和指标</w:t>
          </w:r>
          <w:r>
            <w:rPr>
              <w:rFonts w:hint="eastAsia" w:cs="宋体"/>
            </w:rPr>
            <w:tab/>
          </w:r>
          <w:r>
            <w:rPr>
              <w:rFonts w:hint="eastAsia" w:cs="宋体"/>
            </w:rPr>
            <w:fldChar w:fldCharType="begin"/>
          </w:r>
          <w:r>
            <w:rPr>
              <w:rFonts w:hint="eastAsia" w:cs="宋体"/>
            </w:rPr>
            <w:instrText xml:space="preserve"> PAGEREF _Toc13511 \h </w:instrText>
          </w:r>
          <w:r>
            <w:rPr>
              <w:rFonts w:hint="eastAsia" w:cs="宋体"/>
            </w:rPr>
            <w:fldChar w:fldCharType="separate"/>
          </w:r>
          <w:r>
            <w:rPr>
              <w:rFonts w:hint="eastAsia" w:cs="宋体"/>
            </w:rPr>
            <w:t>3</w:t>
          </w:r>
          <w:r>
            <w:rPr>
              <w:rFonts w:hint="eastAsia" w:cs="宋体"/>
            </w:rPr>
            <w:fldChar w:fldCharType="end"/>
          </w:r>
          <w:r>
            <w:rPr>
              <w:rFonts w:hint="eastAsia" w:cs="宋体"/>
            </w:rPr>
            <w:fldChar w:fldCharType="end"/>
          </w:r>
        </w:p>
        <w:p w14:paraId="30837CDD">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"_Toc5979" </w:instrText>
          </w:r>
          <w:r>
            <w:fldChar w:fldCharType="separate"/>
          </w:r>
          <w:r>
            <w:rPr>
              <w:rFonts w:hint="eastAsia" w:cs="宋体"/>
              <w:snapToGrid w:val="0"/>
              <w:kern w:val="0"/>
              <w:szCs w:val="21"/>
              <w:lang w:bidi="ar"/>
            </w:rPr>
            <w:t>5.1 评估范围和内容</w:t>
          </w:r>
          <w:r>
            <w:rPr>
              <w:rFonts w:hint="eastAsia" w:cs="宋体"/>
            </w:rPr>
            <w:tab/>
          </w:r>
          <w:r>
            <w:rPr>
              <w:rFonts w:hint="eastAsia" w:cs="宋体"/>
            </w:rPr>
            <w:fldChar w:fldCharType="begin"/>
          </w:r>
          <w:r>
            <w:rPr>
              <w:rFonts w:hint="eastAsia" w:cs="宋体"/>
            </w:rPr>
            <w:instrText xml:space="preserve"> PAGEREF _Toc5979 \h </w:instrText>
          </w:r>
          <w:r>
            <w:rPr>
              <w:rFonts w:hint="eastAsia" w:cs="宋体"/>
            </w:rPr>
            <w:fldChar w:fldCharType="separate"/>
          </w:r>
          <w:r>
            <w:rPr>
              <w:rFonts w:hint="eastAsia" w:cs="宋体"/>
            </w:rPr>
            <w:t>3</w:t>
          </w:r>
          <w:r>
            <w:rPr>
              <w:rFonts w:hint="eastAsia" w:cs="宋体"/>
            </w:rPr>
            <w:fldChar w:fldCharType="end"/>
          </w:r>
          <w:r>
            <w:rPr>
              <w:rFonts w:hint="eastAsia" w:cs="宋体"/>
            </w:rPr>
            <w:fldChar w:fldCharType="end"/>
          </w:r>
        </w:p>
        <w:p w14:paraId="2395F452">
          <w:pPr>
            <w:pStyle w:val="14"/>
            <w:tabs>
              <w:tab w:val="right" w:leader="dot" w:pos="9065"/>
            </w:tabs>
            <w:spacing w:before="0" w:beforeLines="0"/>
            <w:ind w:left="0" w:leftChars="0" w:firstLine="210" w:firstLineChars="100"/>
            <w:jc w:val="left"/>
          </w:pPr>
          <w:r>
            <w:fldChar w:fldCharType="begin"/>
          </w:r>
          <w:r>
            <w:instrText xml:space="preserve"> HYPERLINK \l "_Toc29926" </w:instrText>
          </w:r>
          <w:r>
            <w:fldChar w:fldCharType="separate"/>
          </w:r>
          <w:r>
            <w:rPr>
              <w:rFonts w:hint="eastAsia" w:cs="宋体"/>
              <w:snapToGrid w:val="0"/>
              <w:szCs w:val="21"/>
              <w:lang w:bidi="ar"/>
            </w:rPr>
            <w:t>5.2 评估指标类型</w:t>
          </w:r>
          <w:r>
            <w:rPr>
              <w:rFonts w:hint="eastAsia" w:cs="宋体"/>
            </w:rPr>
            <w:tab/>
          </w:r>
          <w:r>
            <w:rPr>
              <w:rFonts w:hint="eastAsia" w:cs="宋体"/>
            </w:rPr>
            <w:fldChar w:fldCharType="end"/>
          </w:r>
          <w:r>
            <w:rPr>
              <w:rFonts w:hint="eastAsia" w:cs="宋体"/>
              <w:lang w:val="en-US" w:eastAsia="zh-CN"/>
            </w:rPr>
            <w:t>3</w:t>
          </w:r>
        </w:p>
        <w:p w14:paraId="492A7AA2">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"_Toc17053" </w:instrText>
          </w:r>
          <w:r>
            <w:fldChar w:fldCharType="separate"/>
          </w:r>
          <w:r>
            <w:rPr>
              <w:rFonts w:hint="eastAsia" w:cs="宋体"/>
              <w:snapToGrid w:val="0"/>
              <w:szCs w:val="21"/>
              <w:lang w:bidi="ar"/>
            </w:rPr>
            <w:t>5.3 评估指标选取</w:t>
          </w:r>
          <w:r>
            <w:rPr>
              <w:rFonts w:hint="eastAsia" w:cs="宋体"/>
            </w:rPr>
            <w:tab/>
          </w:r>
          <w:r>
            <w:rPr>
              <w:rFonts w:hint="eastAsia" w:cs="宋体"/>
            </w:rPr>
            <w:fldChar w:fldCharType="begin"/>
          </w:r>
          <w:r>
            <w:rPr>
              <w:rFonts w:hint="eastAsia" w:cs="宋体"/>
            </w:rPr>
            <w:instrText xml:space="preserve"> PAGEREF _Toc17053 \h </w:instrText>
          </w:r>
          <w:r>
            <w:rPr>
              <w:rFonts w:hint="eastAsia" w:cs="宋体"/>
            </w:rPr>
            <w:fldChar w:fldCharType="separate"/>
          </w:r>
          <w:r>
            <w:rPr>
              <w:rFonts w:hint="eastAsia" w:cs="宋体"/>
            </w:rPr>
            <w:t>3</w:t>
          </w:r>
          <w:r>
            <w:rPr>
              <w:rFonts w:hint="eastAsia" w:cs="宋体"/>
            </w:rPr>
            <w:fldChar w:fldCharType="end"/>
          </w:r>
          <w:r>
            <w:rPr>
              <w:rFonts w:hint="eastAsia" w:cs="宋体"/>
            </w:rPr>
            <w:fldChar w:fldCharType="end"/>
          </w:r>
        </w:p>
        <w:p w14:paraId="5CE46D6B">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"_Toc990" </w:instrText>
          </w:r>
          <w:r>
            <w:fldChar w:fldCharType="separate"/>
          </w:r>
          <w:r>
            <w:rPr>
              <w:rFonts w:hint="eastAsia" w:cs="宋体"/>
              <w:snapToGrid w:val="0"/>
              <w:kern w:val="0"/>
              <w:szCs w:val="21"/>
              <w:lang w:bidi="ar"/>
            </w:rPr>
            <w:t>5.4 评估指标体系构建</w:t>
          </w:r>
          <w:bookmarkStart w:id="5" w:name="OLE_LINK61"/>
          <w:r>
            <w:rPr>
              <w:rFonts w:hint="eastAsia" w:cs="宋体"/>
            </w:rPr>
            <w:tab/>
          </w:r>
          <w:bookmarkEnd w:id="5"/>
          <w:r>
            <w:rPr>
              <w:rFonts w:hint="eastAsia" w:cs="宋体"/>
            </w:rPr>
            <w:fldChar w:fldCharType="begin"/>
          </w:r>
          <w:r>
            <w:rPr>
              <w:rFonts w:hint="eastAsia" w:cs="宋体"/>
            </w:rPr>
            <w:instrText xml:space="preserve"> PAGEREF _Toc990 \h </w:instrText>
          </w:r>
          <w:r>
            <w:rPr>
              <w:rFonts w:hint="eastAsia" w:cs="宋体"/>
            </w:rPr>
            <w:fldChar w:fldCharType="separate"/>
          </w:r>
          <w:r>
            <w:rPr>
              <w:rFonts w:hint="eastAsia" w:cs="宋体"/>
            </w:rPr>
            <w:t>4</w:t>
          </w:r>
          <w:r>
            <w:rPr>
              <w:rFonts w:hint="eastAsia" w:cs="宋体"/>
            </w:rPr>
            <w:fldChar w:fldCharType="end"/>
          </w:r>
          <w:r>
            <w:rPr>
              <w:rFonts w:hint="eastAsia" w:cs="宋体"/>
            </w:rPr>
            <w:fldChar w:fldCharType="end"/>
          </w:r>
        </w:p>
        <w:p w14:paraId="36E98192">
          <w:pPr>
            <w:pStyle w:val="13"/>
            <w:tabs>
              <w:tab w:val="right" w:leader="dot" w:pos="9065"/>
            </w:tabs>
            <w:spacing w:before="60" w:beforeLines="25" w:after="60" w:afterLines="25"/>
            <w:ind w:firstLine="0" w:firstLineChars="0"/>
            <w:jc w:val="left"/>
            <w:rPr>
              <w:rFonts w:hint="eastAsia" w:cs="宋体"/>
            </w:rPr>
          </w:pPr>
          <w:r>
            <w:fldChar w:fldCharType="begin"/>
          </w:r>
          <w:r>
            <w:instrText xml:space="preserve"> HYPERLINK \l "_Toc26778" </w:instrText>
          </w:r>
          <w:r>
            <w:fldChar w:fldCharType="separate"/>
          </w:r>
          <w:r>
            <w:rPr>
              <w:rFonts w:hint="eastAsia" w:cs="宋体"/>
            </w:rPr>
            <w:t>6 数据采集与核查</w:t>
          </w:r>
          <w:r>
            <w:rPr>
              <w:rFonts w:hint="eastAsia" w:cs="宋体"/>
            </w:rPr>
            <w:tab/>
          </w:r>
          <w:r>
            <w:rPr>
              <w:rFonts w:hint="eastAsia" w:cs="宋体"/>
            </w:rPr>
            <w:fldChar w:fldCharType="begin"/>
          </w:r>
          <w:r>
            <w:rPr>
              <w:rFonts w:hint="eastAsia" w:cs="宋体"/>
            </w:rPr>
            <w:instrText xml:space="preserve"> PAGEREF _Toc26778 \h </w:instrText>
          </w:r>
          <w:r>
            <w:rPr>
              <w:rFonts w:hint="eastAsia" w:cs="宋体"/>
            </w:rPr>
            <w:fldChar w:fldCharType="separate"/>
          </w:r>
          <w:r>
            <w:rPr>
              <w:rFonts w:hint="eastAsia" w:cs="宋体"/>
            </w:rPr>
            <w:t>4</w:t>
          </w:r>
          <w:r>
            <w:rPr>
              <w:rFonts w:hint="eastAsia" w:cs="宋体"/>
            </w:rPr>
            <w:fldChar w:fldCharType="end"/>
          </w:r>
          <w:r>
            <w:rPr>
              <w:rFonts w:hint="eastAsia" w:cs="宋体"/>
            </w:rPr>
            <w:fldChar w:fldCharType="end"/>
          </w:r>
        </w:p>
        <w:p w14:paraId="5E3C9880">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"_Toc2527" </w:instrText>
          </w:r>
          <w:r>
            <w:fldChar w:fldCharType="separate"/>
          </w:r>
          <w:r>
            <w:rPr>
              <w:rFonts w:hint="eastAsia" w:cs="宋体"/>
              <w:lang w:bidi="ar"/>
            </w:rPr>
            <w:t>6.1 数据源</w:t>
          </w:r>
          <w:r>
            <w:rPr>
              <w:rFonts w:hint="eastAsia" w:cs="宋体"/>
            </w:rPr>
            <w:tab/>
          </w:r>
          <w:r>
            <w:rPr>
              <w:rFonts w:hint="eastAsia" w:cs="宋体"/>
            </w:rPr>
            <w:fldChar w:fldCharType="begin"/>
          </w:r>
          <w:r>
            <w:rPr>
              <w:rFonts w:hint="eastAsia" w:cs="宋体"/>
            </w:rPr>
            <w:instrText xml:space="preserve"> PAGEREF _Toc2527 \h </w:instrText>
          </w:r>
          <w:r>
            <w:rPr>
              <w:rFonts w:hint="eastAsia" w:cs="宋体"/>
            </w:rPr>
            <w:fldChar w:fldCharType="separate"/>
          </w:r>
          <w:r>
            <w:rPr>
              <w:rFonts w:hint="eastAsia" w:cs="宋体"/>
            </w:rPr>
            <w:t>4</w:t>
          </w:r>
          <w:r>
            <w:rPr>
              <w:rFonts w:hint="eastAsia" w:cs="宋体"/>
            </w:rPr>
            <w:fldChar w:fldCharType="end"/>
          </w:r>
          <w:r>
            <w:rPr>
              <w:rFonts w:hint="eastAsia" w:cs="宋体"/>
            </w:rPr>
            <w:fldChar w:fldCharType="end"/>
          </w:r>
        </w:p>
        <w:p w14:paraId="4A35E832">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"_Toc7385" </w:instrText>
          </w:r>
          <w:r>
            <w:fldChar w:fldCharType="separate"/>
          </w:r>
          <w:r>
            <w:rPr>
              <w:rFonts w:hint="eastAsia" w:cs="宋体"/>
              <w:lang w:bidi="ar"/>
            </w:rPr>
            <w:t>6.2 数据获取方法</w:t>
          </w:r>
          <w:bookmarkStart w:id="6" w:name="OLE_LINK64"/>
          <w:r>
            <w:rPr>
              <w:rFonts w:hint="eastAsia" w:cs="宋体"/>
            </w:rPr>
            <w:tab/>
          </w:r>
          <w:bookmarkEnd w:id="6"/>
          <w:r>
            <w:rPr>
              <w:rFonts w:hint="eastAsia" w:cs="宋体"/>
            </w:rPr>
            <w:fldChar w:fldCharType="begin"/>
          </w:r>
          <w:r>
            <w:rPr>
              <w:rFonts w:hint="eastAsia" w:cs="宋体"/>
            </w:rPr>
            <w:instrText xml:space="preserve"> PAGEREF _Toc7385 \h </w:instrText>
          </w:r>
          <w:r>
            <w:rPr>
              <w:rFonts w:hint="eastAsia" w:cs="宋体"/>
            </w:rPr>
            <w:fldChar w:fldCharType="separate"/>
          </w:r>
          <w:r>
            <w:rPr>
              <w:rFonts w:hint="eastAsia" w:cs="宋体"/>
            </w:rPr>
            <w:t>4</w:t>
          </w:r>
          <w:r>
            <w:rPr>
              <w:rFonts w:hint="eastAsia" w:cs="宋体"/>
            </w:rPr>
            <w:fldChar w:fldCharType="end"/>
          </w:r>
          <w:r>
            <w:rPr>
              <w:rFonts w:hint="eastAsia" w:cs="宋体"/>
            </w:rPr>
            <w:fldChar w:fldCharType="end"/>
          </w:r>
        </w:p>
        <w:p w14:paraId="08F2848B">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"_Toc4094" </w:instrText>
          </w:r>
          <w:r>
            <w:fldChar w:fldCharType="separate"/>
          </w:r>
          <w:r>
            <w:rPr>
              <w:rFonts w:hint="eastAsia" w:cs="宋体"/>
              <w:lang w:bidi="ar"/>
            </w:rPr>
            <w:t>6.3 数据核查</w:t>
          </w:r>
          <w:r>
            <w:rPr>
              <w:rFonts w:hint="eastAsia" w:cs="宋体"/>
            </w:rPr>
            <w:tab/>
          </w:r>
          <w:r>
            <w:rPr>
              <w:rFonts w:hint="eastAsia" w:cs="宋体"/>
            </w:rPr>
            <w:fldChar w:fldCharType="begin"/>
          </w:r>
          <w:r>
            <w:rPr>
              <w:rFonts w:hint="eastAsia" w:cs="宋体"/>
            </w:rPr>
            <w:instrText xml:space="preserve"> PAGEREF _Toc4094 \h </w:instrText>
          </w:r>
          <w:r>
            <w:rPr>
              <w:rFonts w:hint="eastAsia" w:cs="宋体"/>
            </w:rPr>
            <w:fldChar w:fldCharType="separate"/>
          </w:r>
          <w:r>
            <w:rPr>
              <w:rFonts w:hint="eastAsia" w:cs="宋体"/>
            </w:rPr>
            <w:t>5</w:t>
          </w:r>
          <w:r>
            <w:rPr>
              <w:rFonts w:hint="eastAsia" w:cs="宋体"/>
            </w:rPr>
            <w:fldChar w:fldCharType="end"/>
          </w:r>
          <w:r>
            <w:rPr>
              <w:rFonts w:hint="eastAsia" w:cs="宋体"/>
            </w:rPr>
            <w:fldChar w:fldCharType="end"/>
          </w:r>
        </w:p>
        <w:p w14:paraId="7EB58D80">
          <w:pPr>
            <w:pStyle w:val="13"/>
            <w:tabs>
              <w:tab w:val="right" w:leader="dot" w:pos="9065"/>
            </w:tabs>
            <w:spacing w:before="60" w:beforeLines="25" w:after="60" w:afterLines="25"/>
            <w:ind w:firstLine="0" w:firstLineChars="0"/>
            <w:jc w:val="left"/>
            <w:rPr>
              <w:rFonts w:hint="eastAsia" w:cs="宋体"/>
            </w:rPr>
          </w:pPr>
          <w:r>
            <w:fldChar w:fldCharType="begin"/>
          </w:r>
          <w:r>
            <w:instrText xml:space="preserve"> HYPERLINK \l "_Toc16643" </w:instrText>
          </w:r>
          <w:r>
            <w:fldChar w:fldCharType="separate"/>
          </w:r>
          <w:r>
            <w:rPr>
              <w:rFonts w:hint="eastAsia" w:cs="宋体"/>
            </w:rPr>
            <w:t>7 评估指标计算与结果分级</w:t>
          </w:r>
          <w:r>
            <w:rPr>
              <w:rFonts w:hint="eastAsia" w:cs="宋体"/>
            </w:rPr>
            <w:tab/>
          </w:r>
          <w:r>
            <w:rPr>
              <w:rFonts w:hint="eastAsia" w:cs="宋体"/>
            </w:rPr>
            <w:fldChar w:fldCharType="begin"/>
          </w:r>
          <w:r>
            <w:rPr>
              <w:rFonts w:hint="eastAsia" w:cs="宋体"/>
            </w:rPr>
            <w:instrText xml:space="preserve"> PAGEREF _Toc16643 \h </w:instrText>
          </w:r>
          <w:r>
            <w:rPr>
              <w:rFonts w:hint="eastAsia" w:cs="宋体"/>
            </w:rPr>
            <w:fldChar w:fldCharType="separate"/>
          </w:r>
          <w:r>
            <w:rPr>
              <w:rFonts w:hint="eastAsia" w:cs="宋体"/>
            </w:rPr>
            <w:t>5</w:t>
          </w:r>
          <w:r>
            <w:rPr>
              <w:rFonts w:hint="eastAsia" w:cs="宋体"/>
            </w:rPr>
            <w:fldChar w:fldCharType="end"/>
          </w:r>
          <w:r>
            <w:rPr>
              <w:rFonts w:hint="eastAsia" w:cs="宋体"/>
            </w:rPr>
            <w:fldChar w:fldCharType="end"/>
          </w:r>
        </w:p>
        <w:p w14:paraId="1E035C77">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"_Toc8840" </w:instrText>
          </w:r>
          <w:r>
            <w:fldChar w:fldCharType="separate"/>
          </w:r>
          <w:r>
            <w:rPr>
              <w:rFonts w:hint="eastAsia" w:cs="宋体"/>
              <w:lang w:bidi="ar"/>
            </w:rPr>
            <w:t>7.1 评估指标计算</w:t>
          </w:r>
          <w:r>
            <w:rPr>
              <w:rFonts w:hint="eastAsia" w:cs="宋体"/>
            </w:rPr>
            <w:tab/>
          </w:r>
          <w:r>
            <w:rPr>
              <w:rFonts w:hint="eastAsia" w:cs="宋体"/>
            </w:rPr>
            <w:fldChar w:fldCharType="begin"/>
          </w:r>
          <w:r>
            <w:rPr>
              <w:rFonts w:hint="eastAsia" w:cs="宋体"/>
            </w:rPr>
            <w:instrText xml:space="preserve"> PAGEREF _Toc8840 \h </w:instrText>
          </w:r>
          <w:r>
            <w:rPr>
              <w:rFonts w:hint="eastAsia" w:cs="宋体"/>
            </w:rPr>
            <w:fldChar w:fldCharType="separate"/>
          </w:r>
          <w:r>
            <w:rPr>
              <w:rFonts w:hint="eastAsia" w:cs="宋体"/>
            </w:rPr>
            <w:t>5</w:t>
          </w:r>
          <w:r>
            <w:rPr>
              <w:rFonts w:hint="eastAsia" w:cs="宋体"/>
            </w:rPr>
            <w:fldChar w:fldCharType="end"/>
          </w:r>
          <w:r>
            <w:rPr>
              <w:rFonts w:hint="eastAsia" w:cs="宋体"/>
            </w:rPr>
            <w:fldChar w:fldCharType="end"/>
          </w:r>
        </w:p>
        <w:p w14:paraId="7C69476C">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"_Toc9326" </w:instrText>
          </w:r>
          <w:r>
            <w:fldChar w:fldCharType="separate"/>
          </w:r>
          <w:r>
            <w:rPr>
              <w:rFonts w:hint="eastAsia" w:cs="宋体"/>
              <w:lang w:bidi="ar"/>
            </w:rPr>
            <w:t>7.2 评估结果与分级</w:t>
          </w:r>
          <w:r>
            <w:rPr>
              <w:rFonts w:hint="eastAsia" w:cs="宋体"/>
            </w:rPr>
            <w:tab/>
          </w:r>
          <w:r>
            <w:rPr>
              <w:rFonts w:hint="eastAsia" w:cs="宋体"/>
            </w:rPr>
            <w:fldChar w:fldCharType="begin"/>
          </w:r>
          <w:r>
            <w:rPr>
              <w:rFonts w:hint="eastAsia" w:cs="宋体"/>
            </w:rPr>
            <w:instrText xml:space="preserve"> PAGEREF _Toc9326 \h </w:instrText>
          </w:r>
          <w:r>
            <w:rPr>
              <w:rFonts w:hint="eastAsia" w:cs="宋体"/>
            </w:rPr>
            <w:fldChar w:fldCharType="separate"/>
          </w:r>
          <w:r>
            <w:rPr>
              <w:rFonts w:hint="eastAsia" w:cs="宋体"/>
            </w:rPr>
            <w:t>6</w:t>
          </w:r>
          <w:r>
            <w:rPr>
              <w:rFonts w:hint="eastAsia" w:cs="宋体"/>
            </w:rPr>
            <w:fldChar w:fldCharType="end"/>
          </w:r>
          <w:r>
            <w:rPr>
              <w:rFonts w:hint="eastAsia" w:cs="宋体"/>
            </w:rPr>
            <w:fldChar w:fldCharType="end"/>
          </w:r>
        </w:p>
        <w:p w14:paraId="435F0992">
          <w:pPr>
            <w:pStyle w:val="14"/>
            <w:tabs>
              <w:tab w:val="right" w:leader="dot" w:pos="9065"/>
            </w:tabs>
            <w:spacing w:before="0" w:beforeLines="0"/>
            <w:ind w:left="0" w:leftChars="0" w:firstLine="210" w:firstLineChars="100"/>
            <w:jc w:val="left"/>
            <w:rPr>
              <w:rFonts w:hint="eastAsia" w:cs="宋体"/>
              <w:lang w:val="en-US" w:eastAsia="zh-CN"/>
            </w:rPr>
          </w:pPr>
          <w:r>
            <w:fldChar w:fldCharType="begin"/>
          </w:r>
          <w:r>
            <w:instrText xml:space="preserve"> HYPERLINK \l "_Toc24267" </w:instrText>
          </w:r>
          <w:r>
            <w:fldChar w:fldCharType="separate"/>
          </w:r>
          <w:r>
            <w:rPr>
              <w:rFonts w:hint="eastAsia" w:cs="宋体"/>
              <w:lang w:bidi="ar"/>
            </w:rPr>
            <w:t>7.3 评估结果分析</w:t>
          </w:r>
          <w:r>
            <w:rPr>
              <w:rFonts w:hint="eastAsia" w:cs="宋体"/>
            </w:rPr>
            <w:tab/>
          </w:r>
          <w:r>
            <w:rPr>
              <w:rFonts w:hint="eastAsia" w:cs="宋体"/>
            </w:rPr>
            <w:fldChar w:fldCharType="end"/>
          </w:r>
          <w:r>
            <w:rPr>
              <w:rFonts w:hint="eastAsia" w:cs="宋体"/>
              <w:lang w:val="en-US" w:eastAsia="zh-CN"/>
            </w:rPr>
            <w:t>6</w:t>
          </w:r>
        </w:p>
        <w:p w14:paraId="18E5153E">
          <w:pPr>
            <w:pStyle w:val="13"/>
            <w:tabs>
              <w:tab w:val="right" w:leader="dot" w:pos="9065"/>
            </w:tabs>
            <w:spacing w:before="60" w:beforeLines="25" w:after="60" w:afterLines="25"/>
            <w:ind w:firstLine="0" w:firstLineChars="0"/>
            <w:jc w:val="left"/>
            <w:rPr>
              <w:rFonts w:hint="eastAsia" w:cs="宋体"/>
            </w:rPr>
          </w:pPr>
          <w:r>
            <w:fldChar w:fldCharType="begin"/>
          </w:r>
          <w:r>
            <w:instrText xml:space="preserve"> HYPERLINK \l "_Toc5434" </w:instrText>
          </w:r>
          <w:r>
            <w:fldChar w:fldCharType="separate"/>
          </w:r>
          <w:r>
            <w:rPr>
              <w:rFonts w:hint="eastAsia" w:cs="宋体"/>
            </w:rPr>
            <w:t>8 报告</w:t>
          </w:r>
          <w:r>
            <w:rPr>
              <w:rFonts w:hint="eastAsia" w:cs="宋体"/>
              <w:lang w:val="en-US" w:eastAsia="zh-CN"/>
            </w:rPr>
            <w:t>编制</w:t>
          </w:r>
          <w:r>
            <w:rPr>
              <w:rFonts w:hint="eastAsia" w:cs="宋体"/>
            </w:rPr>
            <w:t>与成果管理</w:t>
          </w:r>
          <w:r>
            <w:rPr>
              <w:rFonts w:hint="eastAsia" w:cs="宋体"/>
            </w:rPr>
            <w:tab/>
          </w:r>
          <w:r>
            <w:rPr>
              <w:rFonts w:hint="eastAsia" w:cs="宋体"/>
            </w:rPr>
            <w:fldChar w:fldCharType="begin"/>
          </w:r>
          <w:r>
            <w:rPr>
              <w:rFonts w:hint="eastAsia" w:cs="宋体"/>
            </w:rPr>
            <w:instrText xml:space="preserve"> PAGEREF _Toc5434 \h </w:instrText>
          </w:r>
          <w:r>
            <w:rPr>
              <w:rFonts w:hint="eastAsia" w:cs="宋体"/>
            </w:rPr>
            <w:fldChar w:fldCharType="separate"/>
          </w:r>
          <w:r>
            <w:rPr>
              <w:rFonts w:hint="eastAsia" w:cs="宋体"/>
            </w:rPr>
            <w:t>7</w:t>
          </w:r>
          <w:r>
            <w:rPr>
              <w:rFonts w:hint="eastAsia" w:cs="宋体"/>
            </w:rPr>
            <w:fldChar w:fldCharType="end"/>
          </w:r>
          <w:r>
            <w:rPr>
              <w:rFonts w:hint="eastAsia" w:cs="宋体"/>
            </w:rPr>
            <w:fldChar w:fldCharType="end"/>
          </w:r>
        </w:p>
        <w:p w14:paraId="7AD7FB4E">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"_Toc4168" </w:instrText>
          </w:r>
          <w:r>
            <w:fldChar w:fldCharType="separate"/>
          </w:r>
          <w:r>
            <w:rPr>
              <w:rFonts w:hint="eastAsia" w:cs="宋体"/>
              <w:lang w:bidi="ar"/>
            </w:rPr>
            <w:t>8.1 评估报告编制</w:t>
          </w:r>
          <w:r>
            <w:rPr>
              <w:rFonts w:hint="eastAsia" w:cs="宋体"/>
            </w:rPr>
            <w:tab/>
          </w:r>
          <w:r>
            <w:rPr>
              <w:rFonts w:hint="eastAsia" w:cs="宋体"/>
            </w:rPr>
            <w:fldChar w:fldCharType="begin"/>
          </w:r>
          <w:r>
            <w:rPr>
              <w:rFonts w:hint="eastAsia" w:cs="宋体"/>
            </w:rPr>
            <w:instrText xml:space="preserve"> PAGEREF _Toc4168 \h </w:instrText>
          </w:r>
          <w:r>
            <w:rPr>
              <w:rFonts w:hint="eastAsia" w:cs="宋体"/>
            </w:rPr>
            <w:fldChar w:fldCharType="separate"/>
          </w:r>
          <w:r>
            <w:rPr>
              <w:rFonts w:hint="eastAsia" w:cs="宋体"/>
            </w:rPr>
            <w:t>7</w:t>
          </w:r>
          <w:r>
            <w:rPr>
              <w:rFonts w:hint="eastAsia" w:cs="宋体"/>
            </w:rPr>
            <w:fldChar w:fldCharType="end"/>
          </w:r>
          <w:r>
            <w:rPr>
              <w:rFonts w:hint="eastAsia" w:cs="宋体"/>
            </w:rPr>
            <w:fldChar w:fldCharType="end"/>
          </w:r>
        </w:p>
        <w:p w14:paraId="65972514">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"_Toc5948" </w:instrText>
          </w:r>
          <w:r>
            <w:fldChar w:fldCharType="separate"/>
          </w:r>
          <w:r>
            <w:rPr>
              <w:rFonts w:hint="eastAsia" w:cs="宋体"/>
              <w:lang w:bidi="ar"/>
            </w:rPr>
            <w:t>8.2 数据表格制作</w:t>
          </w:r>
          <w:bookmarkStart w:id="7" w:name="OLE_LINK58"/>
          <w:r>
            <w:rPr>
              <w:rFonts w:hint="eastAsia" w:cs="宋体"/>
            </w:rPr>
            <w:tab/>
          </w:r>
          <w:bookmarkEnd w:id="7"/>
          <w:r>
            <w:rPr>
              <w:rFonts w:hint="eastAsia" w:cs="宋体"/>
            </w:rPr>
            <w:fldChar w:fldCharType="begin"/>
          </w:r>
          <w:r>
            <w:rPr>
              <w:rFonts w:hint="eastAsia" w:cs="宋体"/>
            </w:rPr>
            <w:instrText xml:space="preserve"> PAGEREF _Toc5948 \h </w:instrText>
          </w:r>
          <w:r>
            <w:rPr>
              <w:rFonts w:hint="eastAsia" w:cs="宋体"/>
            </w:rPr>
            <w:fldChar w:fldCharType="separate"/>
          </w:r>
          <w:r>
            <w:rPr>
              <w:rFonts w:hint="eastAsia" w:cs="宋体"/>
            </w:rPr>
            <w:t>7</w:t>
          </w:r>
          <w:r>
            <w:rPr>
              <w:rFonts w:hint="eastAsia" w:cs="宋体"/>
            </w:rPr>
            <w:fldChar w:fldCharType="end"/>
          </w:r>
          <w:r>
            <w:rPr>
              <w:rFonts w:hint="eastAsia" w:cs="宋体"/>
            </w:rPr>
            <w:fldChar w:fldCharType="end"/>
          </w:r>
        </w:p>
        <w:p w14:paraId="2318BB99">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"_Toc24692" </w:instrText>
          </w:r>
          <w:r>
            <w:fldChar w:fldCharType="separate"/>
          </w:r>
          <w:r>
            <w:rPr>
              <w:rFonts w:hint="eastAsia" w:cs="宋体"/>
              <w:lang w:bidi="ar"/>
            </w:rPr>
            <w:t>8.3 图件编制</w:t>
          </w:r>
          <w:r>
            <w:rPr>
              <w:rFonts w:hint="eastAsia" w:cs="宋体"/>
            </w:rPr>
            <w:tab/>
          </w:r>
          <w:r>
            <w:rPr>
              <w:rFonts w:hint="eastAsia" w:cs="宋体"/>
            </w:rPr>
            <w:fldChar w:fldCharType="begin"/>
          </w:r>
          <w:r>
            <w:rPr>
              <w:rFonts w:hint="eastAsia" w:cs="宋体"/>
            </w:rPr>
            <w:instrText xml:space="preserve"> PAGEREF _Toc24692 \h </w:instrText>
          </w:r>
          <w:r>
            <w:rPr>
              <w:rFonts w:hint="eastAsia" w:cs="宋体"/>
            </w:rPr>
            <w:fldChar w:fldCharType="separate"/>
          </w:r>
          <w:r>
            <w:rPr>
              <w:rFonts w:hint="eastAsia" w:cs="宋体"/>
            </w:rPr>
            <w:t>7</w:t>
          </w:r>
          <w:r>
            <w:rPr>
              <w:rFonts w:hint="eastAsia" w:cs="宋体"/>
            </w:rPr>
            <w:fldChar w:fldCharType="end"/>
          </w:r>
          <w:r>
            <w:rPr>
              <w:rFonts w:hint="eastAsia" w:cs="宋体"/>
            </w:rPr>
            <w:fldChar w:fldCharType="end"/>
          </w:r>
        </w:p>
        <w:p w14:paraId="4ABDADA5">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"_Toc22337" </w:instrText>
          </w:r>
          <w:r>
            <w:fldChar w:fldCharType="separate"/>
          </w:r>
          <w:r>
            <w:rPr>
              <w:rFonts w:hint="eastAsia" w:cs="宋体"/>
              <w:lang w:bidi="ar"/>
            </w:rPr>
            <w:t>8.4 成果管理</w:t>
          </w:r>
          <w:r>
            <w:rPr>
              <w:rFonts w:hint="eastAsia" w:cs="宋体"/>
            </w:rPr>
            <w:tab/>
          </w:r>
          <w:r>
            <w:rPr>
              <w:rFonts w:hint="eastAsia" w:cs="宋体"/>
            </w:rPr>
            <w:fldChar w:fldCharType="begin"/>
          </w:r>
          <w:r>
            <w:rPr>
              <w:rFonts w:hint="eastAsia" w:cs="宋体"/>
            </w:rPr>
            <w:instrText xml:space="preserve"> PAGEREF _Toc22337 \h </w:instrText>
          </w:r>
          <w:r>
            <w:rPr>
              <w:rFonts w:hint="eastAsia" w:cs="宋体"/>
            </w:rPr>
            <w:fldChar w:fldCharType="separate"/>
          </w:r>
          <w:r>
            <w:rPr>
              <w:rFonts w:hint="eastAsia" w:cs="宋体"/>
            </w:rPr>
            <w:t>7</w:t>
          </w:r>
          <w:r>
            <w:rPr>
              <w:rFonts w:hint="eastAsia" w:cs="宋体"/>
            </w:rPr>
            <w:fldChar w:fldCharType="end"/>
          </w:r>
          <w:r>
            <w:rPr>
              <w:rFonts w:hint="eastAsia" w:cs="宋体"/>
            </w:rPr>
            <w:fldChar w:fldCharType="end"/>
          </w:r>
        </w:p>
        <w:p w14:paraId="272D98D0">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"_Toc30057" </w:instrText>
          </w:r>
          <w:r>
            <w:fldChar w:fldCharType="separate"/>
          </w:r>
          <w:r>
            <w:rPr>
              <w:rFonts w:hint="eastAsia" w:cs="宋体"/>
              <w:lang w:bidi="ar"/>
            </w:rPr>
            <w:t>8.5 成果整理归档</w:t>
          </w:r>
          <w:r>
            <w:rPr>
              <w:rFonts w:hint="eastAsia" w:cs="宋体"/>
            </w:rPr>
            <w:tab/>
          </w:r>
          <w:r>
            <w:rPr>
              <w:rFonts w:hint="eastAsia" w:cs="宋体"/>
            </w:rPr>
            <w:fldChar w:fldCharType="begin"/>
          </w:r>
          <w:r>
            <w:rPr>
              <w:rFonts w:hint="eastAsia" w:cs="宋体"/>
            </w:rPr>
            <w:instrText xml:space="preserve"> PAGEREF _Toc30057 \h </w:instrText>
          </w:r>
          <w:r>
            <w:rPr>
              <w:rFonts w:hint="eastAsia" w:cs="宋体"/>
            </w:rPr>
            <w:fldChar w:fldCharType="separate"/>
          </w:r>
          <w:r>
            <w:rPr>
              <w:rFonts w:hint="eastAsia" w:cs="宋体"/>
            </w:rPr>
            <w:t>7</w:t>
          </w:r>
          <w:r>
            <w:rPr>
              <w:rFonts w:hint="eastAsia" w:cs="宋体"/>
            </w:rPr>
            <w:fldChar w:fldCharType="end"/>
          </w:r>
          <w:r>
            <w:rPr>
              <w:rFonts w:hint="eastAsia" w:cs="宋体"/>
            </w:rPr>
            <w:fldChar w:fldCharType="end"/>
          </w:r>
        </w:p>
        <w:p w14:paraId="18C179CD">
          <w:pPr>
            <w:pStyle w:val="14"/>
            <w:tabs>
              <w:tab w:val="right" w:leader="dot" w:pos="9065"/>
            </w:tabs>
            <w:spacing w:before="0" w:beforeLines="0"/>
            <w:ind w:left="0" w:leftChars="0" w:firstLine="210" w:firstLineChars="100"/>
            <w:jc w:val="left"/>
            <w:rPr>
              <w:rFonts w:hint="eastAsia" w:cs="宋体"/>
            </w:rPr>
          </w:pPr>
          <w:r>
            <w:fldChar w:fldCharType="begin"/>
          </w:r>
          <w:r>
            <w:instrText xml:space="preserve"> HYPERLINK \l "_Toc25972" </w:instrText>
          </w:r>
          <w:r>
            <w:fldChar w:fldCharType="separate"/>
          </w:r>
          <w:r>
            <w:rPr>
              <w:rFonts w:hint="eastAsia" w:cs="宋体"/>
              <w:lang w:bidi="ar"/>
            </w:rPr>
            <w:t>8.6 评估成果应用</w:t>
          </w:r>
          <w:r>
            <w:rPr>
              <w:rFonts w:hint="eastAsia" w:cs="宋体"/>
            </w:rPr>
            <w:tab/>
          </w:r>
          <w:r>
            <w:rPr>
              <w:rFonts w:hint="eastAsia" w:cs="宋体"/>
            </w:rPr>
            <w:fldChar w:fldCharType="begin"/>
          </w:r>
          <w:r>
            <w:rPr>
              <w:rFonts w:hint="eastAsia" w:cs="宋体"/>
            </w:rPr>
            <w:instrText xml:space="preserve"> PAGEREF _Toc25972 \h </w:instrText>
          </w:r>
          <w:r>
            <w:rPr>
              <w:rFonts w:hint="eastAsia" w:cs="宋体"/>
            </w:rPr>
            <w:fldChar w:fldCharType="separate"/>
          </w:r>
          <w:r>
            <w:rPr>
              <w:rFonts w:hint="eastAsia" w:cs="宋体"/>
            </w:rPr>
            <w:t>7</w:t>
          </w:r>
          <w:r>
            <w:rPr>
              <w:rFonts w:hint="eastAsia" w:cs="宋体"/>
            </w:rPr>
            <w:fldChar w:fldCharType="end"/>
          </w:r>
          <w:r>
            <w:rPr>
              <w:rFonts w:hint="eastAsia" w:cs="宋体"/>
            </w:rPr>
            <w:fldChar w:fldCharType="end"/>
          </w:r>
        </w:p>
        <w:p w14:paraId="0858F643">
          <w:pPr>
            <w:pStyle w:val="13"/>
            <w:tabs>
              <w:tab w:val="right" w:leader="dot" w:pos="9065"/>
            </w:tabs>
            <w:spacing w:before="60" w:beforeLines="25" w:after="60" w:afterLines="25"/>
            <w:ind w:firstLine="0" w:firstLineChars="0"/>
            <w:jc w:val="left"/>
            <w:rPr>
              <w:rFonts w:hint="eastAsia" w:cs="宋体"/>
            </w:rPr>
          </w:pPr>
          <w:r>
            <w:fldChar w:fldCharType="begin"/>
          </w:r>
          <w:r>
            <w:instrText xml:space="preserve"> HYPERLINK \l "_Toc32569" </w:instrText>
          </w:r>
          <w:r>
            <w:fldChar w:fldCharType="separate"/>
          </w:r>
          <w:r>
            <w:rPr>
              <w:rFonts w:hint="eastAsia" w:cs="宋体"/>
            </w:rPr>
            <w:t>附 录 A（规范性）</w:t>
          </w:r>
          <w:r>
            <w:rPr>
              <w:rFonts w:hint="eastAsia" w:cs="宋体"/>
            </w:rPr>
            <w:tab/>
          </w:r>
          <w:r>
            <w:rPr>
              <w:rFonts w:hint="eastAsia" w:cs="宋体"/>
              <w:lang w:val="en-US" w:eastAsia="zh-CN"/>
            </w:rPr>
            <w:t>8</w:t>
          </w:r>
          <w:r>
            <w:rPr>
              <w:rFonts w:hint="eastAsia" w:cs="宋体"/>
            </w:rPr>
            <w:fldChar w:fldCharType="end"/>
          </w:r>
        </w:p>
        <w:p w14:paraId="3A8FC4D7">
          <w:pPr>
            <w:pStyle w:val="13"/>
            <w:tabs>
              <w:tab w:val="right" w:leader="dot" w:pos="9065"/>
            </w:tabs>
            <w:spacing w:before="60" w:beforeLines="25" w:after="60" w:afterLines="25"/>
            <w:ind w:firstLine="0" w:firstLineChars="0"/>
            <w:jc w:val="left"/>
            <w:rPr>
              <w:rFonts w:hint="eastAsia" w:eastAsia="宋体" w:cs="宋体"/>
              <w:lang w:val="en-US" w:eastAsia="zh-CN"/>
            </w:rPr>
          </w:pPr>
          <w:r>
            <w:fldChar w:fldCharType="begin"/>
          </w:r>
          <w:r>
            <w:instrText xml:space="preserve"> HYPERLINK \l "_Toc22509" </w:instrText>
          </w:r>
          <w:r>
            <w:fldChar w:fldCharType="separate"/>
          </w:r>
          <w:r>
            <w:rPr>
              <w:rFonts w:hint="eastAsia" w:cs="宋体"/>
            </w:rPr>
            <w:t>附 录 B（资料性）</w:t>
          </w:r>
          <w:r>
            <w:rPr>
              <w:rFonts w:hint="eastAsia" w:cs="宋体"/>
            </w:rPr>
            <w:tab/>
          </w:r>
          <w:r>
            <w:rPr>
              <w:rFonts w:hint="eastAsia" w:cs="宋体"/>
              <w:lang w:val="en-US" w:eastAsia="zh-CN"/>
            </w:rPr>
            <w:t>1</w:t>
          </w:r>
          <w:r>
            <w:rPr>
              <w:rFonts w:hint="eastAsia" w:cs="宋体"/>
            </w:rPr>
            <w:fldChar w:fldCharType="end"/>
          </w:r>
          <w:r>
            <w:rPr>
              <w:rFonts w:hint="eastAsia" w:cs="宋体"/>
              <w:lang w:val="en-US" w:eastAsia="zh-CN"/>
            </w:rPr>
            <w:t>0</w:t>
          </w:r>
        </w:p>
        <w:p w14:paraId="2FCAC969">
          <w:pPr>
            <w:pStyle w:val="13"/>
            <w:tabs>
              <w:tab w:val="right" w:leader="dot" w:pos="9065"/>
            </w:tabs>
            <w:spacing w:before="60" w:beforeLines="25" w:after="60" w:afterLines="25"/>
            <w:ind w:firstLine="0" w:firstLineChars="0"/>
            <w:jc w:val="left"/>
            <w:rPr>
              <w:rFonts w:hint="eastAsia" w:eastAsia="宋体" w:cs="宋体"/>
              <w:lang w:val="en-US" w:eastAsia="zh-CN"/>
            </w:rPr>
          </w:pPr>
          <w:r>
            <w:fldChar w:fldCharType="begin"/>
          </w:r>
          <w:r>
            <w:instrText xml:space="preserve"> HYPERLINK \l "_Toc28863" </w:instrText>
          </w:r>
          <w:r>
            <w:fldChar w:fldCharType="separate"/>
          </w:r>
          <w:r>
            <w:rPr>
              <w:rFonts w:hint="eastAsia" w:cs="宋体"/>
            </w:rPr>
            <w:t>附 录 C（资料性）</w:t>
          </w:r>
          <w:r>
            <w:rPr>
              <w:rFonts w:hint="eastAsia" w:cs="宋体"/>
            </w:rPr>
            <w:tab/>
          </w:r>
          <w:r>
            <w:rPr>
              <w:rFonts w:hint="eastAsia" w:cs="宋体"/>
              <w:lang w:val="en-US" w:eastAsia="zh-CN"/>
            </w:rPr>
            <w:t>1</w:t>
          </w:r>
          <w:r>
            <w:rPr>
              <w:rFonts w:hint="eastAsia" w:cs="宋体"/>
            </w:rPr>
            <w:fldChar w:fldCharType="end"/>
          </w:r>
          <w:r>
            <w:rPr>
              <w:rFonts w:hint="eastAsia" w:cs="宋体"/>
              <w:lang w:val="en-US" w:eastAsia="zh-CN"/>
            </w:rPr>
            <w:t>2</w:t>
          </w:r>
        </w:p>
        <w:p w14:paraId="2E3CED5E">
          <w:pPr>
            <w:pStyle w:val="13"/>
            <w:tabs>
              <w:tab w:val="right" w:leader="dot" w:pos="9065"/>
            </w:tabs>
            <w:spacing w:before="60" w:beforeLines="25" w:after="60" w:afterLines="25"/>
            <w:ind w:firstLine="0" w:firstLineChars="0"/>
            <w:jc w:val="left"/>
            <w:rPr>
              <w:rFonts w:hint="default" w:eastAsia="宋体" w:asciiTheme="minorEastAsia" w:hAnsiTheme="minorEastAsia" w:cstheme="minorEastAsia"/>
              <w:lang w:val="en-US" w:eastAsia="zh-CN"/>
            </w:rPr>
          </w:pPr>
          <w:r>
            <w:rPr>
              <w:rFonts w:hint="eastAsia" w:cs="宋体"/>
            </w:rPr>
            <w:fldChar w:fldCharType="begin"/>
          </w:r>
          <w:r>
            <w:rPr>
              <w:rFonts w:hint="eastAsia" w:cs="宋体"/>
            </w:rPr>
            <w:instrText xml:space="preserve"> HYPERLINK \l "_Toc16043" </w:instrText>
          </w:r>
          <w:r>
            <w:rPr>
              <w:rFonts w:hint="eastAsia" w:cs="宋体"/>
            </w:rPr>
            <w:fldChar w:fldCharType="separate"/>
          </w:r>
          <w:r>
            <w:rPr>
              <w:rFonts w:hint="eastAsia" w:cs="宋体"/>
            </w:rPr>
            <w:t>附 录 D（资料性）</w:t>
          </w:r>
          <w:r>
            <w:rPr>
              <w:rFonts w:hint="eastAsia" w:cs="宋体"/>
            </w:rPr>
            <w:tab/>
          </w:r>
          <w:r>
            <w:rPr>
              <w:rFonts w:hint="eastAsia" w:cs="宋体"/>
            </w:rPr>
            <w:fldChar w:fldCharType="end"/>
          </w:r>
          <w:r>
            <w:rPr>
              <w:rFonts w:hint="eastAsia" w:cs="宋体"/>
              <w:lang w:val="en-US" w:eastAsia="zh-CN"/>
            </w:rPr>
            <w:t>15</w:t>
          </w:r>
        </w:p>
        <w:p w14:paraId="19B4437C">
          <w:pPr>
            <w:spacing w:before="0" w:beforeLines="0"/>
            <w:ind w:firstLine="0" w:firstLineChars="0"/>
            <w:rPr>
              <w:rFonts w:hint="eastAsia" w:cs="宋体"/>
            </w:rPr>
          </w:pPr>
          <w:r>
            <w:rPr>
              <w:rFonts w:hint="eastAsia" w:asciiTheme="minorEastAsia" w:hAnsiTheme="minorEastAsia" w:eastAsiaTheme="minorEastAsia" w:cstheme="minorEastAsia"/>
            </w:rPr>
            <w:fldChar w:fldCharType="end"/>
          </w:r>
        </w:p>
      </w:sdtContent>
    </w:sdt>
    <w:p w14:paraId="51BB6525">
      <w:pPr>
        <w:spacing w:before="0" w:beforeLines="0"/>
        <w:ind w:firstLine="0" w:firstLineChars="0"/>
        <w:rPr>
          <w:rFonts w:hint="eastAsia" w:cs="宋体"/>
        </w:rPr>
      </w:pPr>
    </w:p>
    <w:p w14:paraId="0DA8FEC6">
      <w:pPr>
        <w:spacing w:before="0" w:beforeLines="0"/>
        <w:ind w:firstLine="0" w:firstLineChars="0"/>
        <w:rPr>
          <w:rFonts w:hint="eastAsia" w:cs="宋体"/>
        </w:rPr>
      </w:pPr>
    </w:p>
    <w:p w14:paraId="693E9822">
      <w:pPr>
        <w:spacing w:before="0" w:beforeLines="0"/>
        <w:ind w:firstLine="0" w:firstLineChars="0"/>
        <w:rPr>
          <w:rFonts w:hint="eastAsia" w:cs="宋体"/>
        </w:rPr>
      </w:pPr>
    </w:p>
    <w:p w14:paraId="653988FE">
      <w:pPr>
        <w:spacing w:before="0" w:beforeLines="0"/>
        <w:ind w:firstLine="0" w:firstLineChars="0"/>
        <w:rPr>
          <w:rFonts w:hint="eastAsia" w:cs="宋体"/>
        </w:rPr>
      </w:pPr>
    </w:p>
    <w:p w14:paraId="05383925">
      <w:pPr>
        <w:spacing w:before="0" w:beforeLines="0"/>
        <w:ind w:firstLine="0" w:firstLineChars="0"/>
        <w:rPr>
          <w:rFonts w:hint="eastAsia" w:cs="宋体"/>
        </w:rPr>
      </w:pPr>
    </w:p>
    <w:p w14:paraId="0E0761D9">
      <w:pPr>
        <w:spacing w:before="0" w:beforeLines="0"/>
        <w:ind w:firstLine="0" w:firstLineChars="0"/>
        <w:rPr>
          <w:rFonts w:hint="eastAsia" w:cs="宋体"/>
        </w:rPr>
      </w:pPr>
    </w:p>
    <w:p w14:paraId="3788A8DC">
      <w:pPr>
        <w:spacing w:before="120"/>
        <w:ind w:firstLine="420"/>
        <w:rPr>
          <w:rFonts w:hint="eastAsia"/>
        </w:rPr>
      </w:pPr>
      <w:bookmarkStart w:id="8" w:name="_Toc3482"/>
      <w:bookmarkStart w:id="9" w:name="_Toc12275"/>
      <w:bookmarkStart w:id="10" w:name="_Toc2419"/>
      <w:bookmarkStart w:id="11" w:name="_Toc8237"/>
      <w:bookmarkStart w:id="12" w:name="_Toc10759"/>
      <w:bookmarkStart w:id="13" w:name="_Toc930"/>
      <w:bookmarkStart w:id="14" w:name="_Toc12294"/>
      <w:bookmarkStart w:id="15" w:name="_Toc11595"/>
      <w:bookmarkStart w:id="16" w:name="_Toc31907"/>
      <w:bookmarkStart w:id="17" w:name="_Toc21311"/>
      <w:bookmarkStart w:id="18" w:name="_Toc13871"/>
      <w:bookmarkStart w:id="19" w:name="_Toc25106"/>
      <w:bookmarkStart w:id="20" w:name="_Toc16279"/>
      <w:bookmarkStart w:id="21" w:name="_Toc21432"/>
      <w:bookmarkStart w:id="22" w:name="_Toc20850"/>
      <w:r>
        <w:rPr>
          <w:rFonts w:hint="eastAsia"/>
        </w:rPr>
        <w:br w:type="page"/>
      </w:r>
    </w:p>
    <w:p w14:paraId="25E336EE">
      <w:pPr>
        <w:pStyle w:val="30"/>
        <w:spacing w:line="240" w:lineRule="auto"/>
      </w:pPr>
      <w:r>
        <w:rPr>
          <w:rFonts w:hint="eastAsia"/>
        </w:rPr>
        <w:t>前</w:t>
      </w:r>
      <w:bookmarkStart w:id="23" w:name="OLE_LINK15"/>
      <w:r>
        <w:rPr>
          <w:rFonts w:hint="eastAsia"/>
        </w:rPr>
        <w:t>  </w:t>
      </w:r>
      <w:bookmarkEnd w:id="23"/>
      <w:r>
        <w:rPr>
          <w:rFonts w:hint="eastAsia"/>
        </w:rPr>
        <w:t>言</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7DADA6CC">
      <w:pPr>
        <w:pStyle w:val="31"/>
        <w:autoSpaceDE/>
        <w:autoSpaceDN/>
        <w:jc w:val="both"/>
        <w:rPr>
          <w:rFonts w:hint="eastAsia" w:hAnsi="宋体" w:cstheme="minorBidi"/>
          <w:kern w:val="2"/>
          <w:szCs w:val="24"/>
        </w:rPr>
      </w:pPr>
      <w:r>
        <w:rPr>
          <w:rFonts w:hAnsi="宋体" w:cstheme="minorBidi"/>
          <w:kern w:val="2"/>
          <w:szCs w:val="24"/>
        </w:rPr>
        <w:t>本文件按照GB/T 1.1—2020《标准化工作导则 第1部分：标准化文件的结构和起草规则》的</w:t>
      </w:r>
    </w:p>
    <w:p w14:paraId="6F7CFB6A">
      <w:pPr>
        <w:pStyle w:val="31"/>
        <w:autoSpaceDE/>
        <w:autoSpaceDN/>
        <w:jc w:val="both"/>
        <w:rPr>
          <w:rFonts w:hint="eastAsia" w:hAnsi="宋体" w:cstheme="minorBidi"/>
          <w:kern w:val="2"/>
          <w:szCs w:val="24"/>
        </w:rPr>
      </w:pPr>
      <w:r>
        <w:rPr>
          <w:rFonts w:hAnsi="宋体" w:cstheme="minorBidi"/>
          <w:kern w:val="2"/>
          <w:szCs w:val="24"/>
        </w:rPr>
        <w:t>规定起草。</w:t>
      </w:r>
    </w:p>
    <w:p w14:paraId="268F1DD2">
      <w:pPr>
        <w:pStyle w:val="31"/>
        <w:autoSpaceDE/>
        <w:autoSpaceDN/>
        <w:jc w:val="both"/>
        <w:rPr>
          <w:rFonts w:hint="eastAsia" w:hAnsi="宋体" w:cstheme="minorBidi"/>
          <w:kern w:val="2"/>
          <w:szCs w:val="24"/>
        </w:rPr>
      </w:pPr>
      <w:r>
        <w:rPr>
          <w:rFonts w:hAnsi="宋体" w:cstheme="minorBidi"/>
          <w:kern w:val="2"/>
          <w:szCs w:val="24"/>
        </w:rPr>
        <w:t>请注意本文件的某些内容可能涉及专利。本文件的发布机构不承担识别专利的责任。</w:t>
      </w:r>
    </w:p>
    <w:p w14:paraId="4AD1E2EF">
      <w:pPr>
        <w:pStyle w:val="31"/>
        <w:autoSpaceDE/>
        <w:autoSpaceDN/>
        <w:jc w:val="both"/>
        <w:rPr>
          <w:rFonts w:hint="eastAsia" w:hAnsi="宋体" w:cstheme="minorBidi"/>
          <w:kern w:val="2"/>
          <w:szCs w:val="24"/>
        </w:rPr>
      </w:pPr>
      <w:r>
        <w:rPr>
          <w:rFonts w:hint="eastAsia"/>
          <w:lang w:eastAsia="zh-CN"/>
        </w:rPr>
        <w:t>本文件</w:t>
      </w:r>
      <w:r>
        <w:rPr>
          <w:rFonts w:hint="eastAsia"/>
        </w:rPr>
        <w:t xml:space="preserve">附录A为规范性附录，附录B、C、D为资料性附录。 </w:t>
      </w:r>
    </w:p>
    <w:p w14:paraId="46CF172D">
      <w:pPr>
        <w:pStyle w:val="31"/>
        <w:autoSpaceDE/>
        <w:autoSpaceDN/>
        <w:jc w:val="both"/>
        <w:rPr>
          <w:rFonts w:hint="eastAsia" w:hAnsi="宋体" w:cstheme="minorBidi"/>
          <w:kern w:val="2"/>
          <w:szCs w:val="24"/>
        </w:rPr>
      </w:pPr>
      <w:r>
        <w:rPr>
          <w:rFonts w:hAnsi="宋体" w:cstheme="minorBidi"/>
          <w:kern w:val="2"/>
          <w:szCs w:val="24"/>
        </w:rPr>
        <w:t>本文件由</w:t>
      </w:r>
      <w:r>
        <w:rPr>
          <w:rFonts w:hint="eastAsia" w:hAnsi="宋体" w:cstheme="minorBidi"/>
          <w:kern w:val="2"/>
          <w:szCs w:val="24"/>
        </w:rPr>
        <w:t>中国地质灾害防治与生态修复协会</w:t>
      </w:r>
      <w:r>
        <w:rPr>
          <w:rFonts w:hAnsi="宋体" w:cstheme="minorBidi"/>
          <w:kern w:val="2"/>
          <w:szCs w:val="24"/>
        </w:rPr>
        <w:t>提出并归口。</w:t>
      </w:r>
    </w:p>
    <w:p w14:paraId="1110CB71">
      <w:pPr>
        <w:pStyle w:val="31"/>
        <w:autoSpaceDE/>
        <w:autoSpaceDN/>
        <w:jc w:val="both"/>
        <w:rPr>
          <w:rFonts w:hint="eastAsia" w:hAnsi="宋体" w:cstheme="minorBidi"/>
          <w:kern w:val="2"/>
          <w:szCs w:val="24"/>
        </w:rPr>
      </w:pPr>
      <w:r>
        <w:rPr>
          <w:rFonts w:hAnsi="宋体" w:cstheme="minorBidi"/>
          <w:kern w:val="2"/>
          <w:szCs w:val="24"/>
        </w:rPr>
        <w:t>本文件起草单位：</w:t>
      </w:r>
      <w:r>
        <w:rPr>
          <w:rFonts w:hint="eastAsia" w:hAnsi="宋体" w:cstheme="minorBidi"/>
          <w:kern w:val="2"/>
          <w:szCs w:val="24"/>
        </w:rPr>
        <w:t>中</w:t>
      </w:r>
      <w:r>
        <w:rPr>
          <w:rFonts w:hint="eastAsia" w:hAnsi="宋体" w:cstheme="minorBidi"/>
          <w:kern w:val="2"/>
          <w:szCs w:val="24"/>
          <w:lang w:val="en-US" w:eastAsia="zh-CN"/>
        </w:rPr>
        <w:t>国</w:t>
      </w:r>
      <w:r>
        <w:rPr>
          <w:rFonts w:hint="eastAsia" w:hAnsi="宋体" w:cstheme="minorBidi"/>
          <w:kern w:val="2"/>
          <w:szCs w:val="24"/>
        </w:rPr>
        <w:t xml:space="preserve">地质环境监测院、山东建筑大学、中色资源环境工程股份有限公司。       </w:t>
      </w:r>
    </w:p>
    <w:p w14:paraId="38EBF456">
      <w:pPr>
        <w:pStyle w:val="31"/>
        <w:rPr>
          <w:rFonts w:hint="eastAsia" w:hAnsi="宋体" w:cstheme="minorBidi"/>
          <w:kern w:val="2"/>
          <w:szCs w:val="24"/>
        </w:rPr>
      </w:pPr>
      <w:r>
        <w:rPr>
          <w:rFonts w:hAnsi="宋体" w:cstheme="minorBidi"/>
          <w:kern w:val="2"/>
          <w:szCs w:val="24"/>
        </w:rPr>
        <w:t>本文件主要起草人：</w:t>
      </w:r>
      <w:r>
        <w:rPr>
          <w:rFonts w:hint="eastAsia" w:hAnsi="宋体" w:cstheme="minorBidi"/>
          <w:kern w:val="2"/>
          <w:szCs w:val="24"/>
        </w:rPr>
        <w:t>王娜</w:t>
      </w:r>
      <w:r>
        <w:rPr>
          <w:rFonts w:hAnsi="宋体" w:cstheme="minorBidi"/>
          <w:kern w:val="2"/>
          <w:szCs w:val="24"/>
        </w:rPr>
        <w:t>、</w:t>
      </w:r>
      <w:r>
        <w:rPr>
          <w:rFonts w:hint="eastAsia" w:hAnsi="宋体" w:cstheme="minorBidi"/>
          <w:kern w:val="2"/>
          <w:szCs w:val="24"/>
        </w:rPr>
        <w:t>曹情情</w:t>
      </w:r>
      <w:r>
        <w:rPr>
          <w:rFonts w:hAnsi="宋体" w:cstheme="minorBidi"/>
          <w:kern w:val="2"/>
          <w:szCs w:val="24"/>
        </w:rPr>
        <w:t>、</w:t>
      </w:r>
      <w:r>
        <w:rPr>
          <w:rFonts w:hint="eastAsia" w:hAnsi="宋体" w:cstheme="minorBidi"/>
          <w:kern w:val="2"/>
          <w:szCs w:val="24"/>
        </w:rPr>
        <w:t>于潇</w:t>
      </w:r>
      <w:r>
        <w:rPr>
          <w:rFonts w:hAnsi="宋体" w:cstheme="minorBidi"/>
          <w:kern w:val="2"/>
          <w:szCs w:val="24"/>
        </w:rPr>
        <w:t>、朱秋萍、</w:t>
      </w:r>
      <w:r>
        <w:rPr>
          <w:rFonts w:hint="eastAsia" w:hAnsi="宋体" w:cstheme="minorBidi"/>
          <w:kern w:val="2"/>
          <w:szCs w:val="24"/>
          <w:lang w:val="en-US" w:eastAsia="zh-CN"/>
        </w:rPr>
        <w:t>闫茂华、</w:t>
      </w:r>
      <w:r>
        <w:rPr>
          <w:rFonts w:hint="eastAsia" w:hAnsi="宋体" w:cstheme="minorBidi"/>
          <w:kern w:val="2"/>
          <w:szCs w:val="24"/>
        </w:rPr>
        <w:t>段龙飞、马莉莉、张志伟、肖瑜莹、程明辉、梁义成、申秋、巴特</w:t>
      </w:r>
      <w:r>
        <w:rPr>
          <w:rFonts w:hint="eastAsia" w:hAnsi="宋体" w:cstheme="minorBidi"/>
          <w:kern w:val="2"/>
          <w:szCs w:val="24"/>
          <w:lang w:eastAsia="zh-CN"/>
        </w:rPr>
        <w:t>。</w:t>
      </w:r>
      <w:r>
        <w:rPr>
          <w:rFonts w:hint="eastAsia" w:hAnsi="宋体" w:cstheme="minorBidi"/>
          <w:kern w:val="2"/>
          <w:szCs w:val="24"/>
        </w:rPr>
        <w:t xml:space="preserve"> </w:t>
      </w:r>
      <w:bookmarkStart w:id="24" w:name="_Toc25064"/>
      <w:bookmarkStart w:id="25" w:name="_Toc268"/>
      <w:bookmarkStart w:id="26" w:name="_Toc15780"/>
      <w:bookmarkStart w:id="27" w:name="_Toc8012"/>
      <w:bookmarkStart w:id="28" w:name="_Toc27776"/>
      <w:bookmarkStart w:id="29" w:name="_Toc28325"/>
      <w:bookmarkStart w:id="30" w:name="_Toc10469"/>
      <w:bookmarkStart w:id="31" w:name="_Toc20925"/>
    </w:p>
    <w:p w14:paraId="3C1AFF80">
      <w:pPr>
        <w:pStyle w:val="31"/>
      </w:pPr>
      <w:r>
        <w:rPr>
          <w:rFonts w:hint="eastAsia"/>
          <w:lang w:eastAsia="zh-CN"/>
        </w:rPr>
        <w:t>本文件</w:t>
      </w:r>
      <w:r>
        <w:rPr>
          <w:rFonts w:hint="eastAsia"/>
        </w:rPr>
        <w:t>由中国地质灾害防治与生态修复协会负责解释。</w:t>
      </w:r>
    </w:p>
    <w:p w14:paraId="3E0C82AC">
      <w:pPr>
        <w:pStyle w:val="31"/>
        <w:ind w:firstLine="0" w:firstLineChars="0"/>
        <w:jc w:val="both"/>
        <w:rPr>
          <w:rFonts w:hint="eastAsia" w:hAnsi="宋体" w:cstheme="minorBidi"/>
          <w:kern w:val="2"/>
          <w:szCs w:val="24"/>
        </w:rPr>
        <w:sectPr>
          <w:headerReference r:id="rId11" w:type="default"/>
          <w:footerReference r:id="rId13" w:type="default"/>
          <w:headerReference r:id="rId12" w:type="even"/>
          <w:footerReference r:id="rId14" w:type="even"/>
          <w:pgSz w:w="11900" w:h="16840"/>
          <w:pgMar w:top="1406" w:right="1417" w:bottom="1312" w:left="1418" w:header="850" w:footer="680" w:gutter="0"/>
          <w:pgNumType w:fmt="upperRoman" w:start="1"/>
          <w:cols w:space="720" w:num="1"/>
        </w:sectPr>
      </w:pPr>
      <w:bookmarkStart w:id="656" w:name="_GoBack"/>
      <w:bookmarkEnd w:id="656"/>
    </w:p>
    <w:p w14:paraId="4C2AF5A4">
      <w:pPr>
        <w:spacing w:before="640" w:beforeLines="0" w:after="560" w:line="460" w:lineRule="exact"/>
        <w:ind w:firstLine="0" w:firstLineChars="0"/>
        <w:jc w:val="center"/>
        <w:outlineLvl w:val="0"/>
        <w:rPr>
          <w:rFonts w:hint="eastAsia" w:cs="黑体"/>
          <w:snapToGrid w:val="0"/>
          <w:sz w:val="32"/>
          <w:szCs w:val="32"/>
        </w:rPr>
      </w:pPr>
      <w:r>
        <w:rPr>
          <w:rFonts w:hint="eastAsia" w:ascii="黑体" w:hAnsi="黑体" w:eastAsia="黑体" w:cs="黑体"/>
          <w:sz w:val="32"/>
          <w:szCs w:val="32"/>
        </w:rPr>
        <w:t>国土空间生态修复规划实施后期评估规范</w:t>
      </w:r>
    </w:p>
    <w:p w14:paraId="0FDB19AB">
      <w:pPr>
        <w:pStyle w:val="56"/>
        <w:widowControl/>
        <w:adjustRightInd/>
        <w:snapToGrid/>
        <w:spacing w:before="240" w:beforeLines="100" w:after="240" w:afterLines="100"/>
        <w:jc w:val="left"/>
        <w:outlineLvl w:val="1"/>
        <w:rPr>
          <w:rFonts w:hint="eastAsia"/>
        </w:rPr>
      </w:pPr>
      <w:bookmarkStart w:id="32" w:name="_Toc16153"/>
      <w:bookmarkStart w:id="33" w:name="_Toc32555"/>
      <w:bookmarkStart w:id="34" w:name="_Toc25299"/>
      <w:bookmarkStart w:id="35" w:name="_Toc7369"/>
      <w:bookmarkStart w:id="36" w:name="_Toc28953"/>
      <w:bookmarkStart w:id="37" w:name="_Toc814"/>
      <w:bookmarkStart w:id="38" w:name="_Toc29760"/>
      <w:bookmarkStart w:id="39" w:name="_Toc26266"/>
      <w:r>
        <w:rPr>
          <w:rFonts w:hint="eastAsia" w:hAnsi="Times New Roman" w:cs="Times New Roman"/>
        </w:rPr>
        <w:t>范围</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Fonts w:hint="eastAsia"/>
        </w:rPr>
        <w:t xml:space="preserve"> </w:t>
      </w:r>
    </w:p>
    <w:p w14:paraId="0186CAC7">
      <w:pPr>
        <w:spacing w:before="0" w:beforeLines="0"/>
        <w:ind w:firstLine="420"/>
        <w:rPr>
          <w:rFonts w:hint="eastAsia"/>
        </w:rPr>
      </w:pPr>
      <w:r>
        <w:t>本文件规定了国土空间生态修复规划实施后期评估的</w:t>
      </w:r>
      <w:r>
        <w:rPr>
          <w:rFonts w:hint="eastAsia"/>
        </w:rPr>
        <w:t>总体要求</w:t>
      </w:r>
      <w:r>
        <w:t>、</w:t>
      </w:r>
      <w:r>
        <w:rPr>
          <w:rFonts w:hint="eastAsia"/>
        </w:rPr>
        <w:t>评估</w:t>
      </w:r>
      <w:r>
        <w:t>流程、</w:t>
      </w:r>
      <w:r>
        <w:rPr>
          <w:rFonts w:hint="eastAsia"/>
        </w:rPr>
        <w:t>评估内容和指标、数据采集与核查、评估指标计算与结果分级、报告</w:t>
      </w:r>
      <w:r>
        <w:rPr>
          <w:rFonts w:hint="eastAsia"/>
          <w:lang w:val="en-US" w:eastAsia="zh-CN"/>
        </w:rPr>
        <w:t>编制</w:t>
      </w:r>
      <w:r>
        <w:t>与</w:t>
      </w:r>
      <w:r>
        <w:rPr>
          <w:rFonts w:hint="eastAsia"/>
        </w:rPr>
        <w:t>成果</w:t>
      </w:r>
      <w:r>
        <w:t>管理等内容。</w:t>
      </w:r>
    </w:p>
    <w:p w14:paraId="5C392346">
      <w:pPr>
        <w:spacing w:before="0" w:beforeLines="0"/>
        <w:ind w:firstLine="420"/>
        <w:rPr>
          <w:rFonts w:hint="eastAsia"/>
        </w:rPr>
      </w:pPr>
      <w:r>
        <w:t>本文件适用于</w:t>
      </w:r>
      <w:bookmarkStart w:id="40" w:name="OLE_LINK55"/>
      <w:r>
        <w:t>省、市（地、州）</w:t>
      </w:r>
      <w:r>
        <w:rPr>
          <w:rFonts w:hint="eastAsia"/>
        </w:rPr>
        <w:t>和</w:t>
      </w:r>
      <w:r>
        <w:t>县（市、区）级</w:t>
      </w:r>
      <w:bookmarkEnd w:id="40"/>
      <w:r>
        <w:t>国土空间生态修复规划实施的后期评估工作，</w:t>
      </w:r>
      <w:bookmarkStart w:id="41" w:name="OLE_LINK7"/>
      <w:r>
        <w:t>其他相关评估工作可参照本文件执行。</w:t>
      </w:r>
      <w:bookmarkEnd w:id="41"/>
    </w:p>
    <w:p w14:paraId="36E5A1E8">
      <w:pPr>
        <w:pStyle w:val="56"/>
        <w:widowControl/>
        <w:adjustRightInd/>
        <w:snapToGrid/>
        <w:spacing w:before="240" w:beforeLines="100" w:after="240" w:afterLines="100"/>
        <w:jc w:val="left"/>
        <w:outlineLvl w:val="1"/>
        <w:rPr>
          <w:rFonts w:hAnsi="Times New Roman" w:cs="Times New Roman"/>
        </w:rPr>
      </w:pPr>
      <w:bookmarkStart w:id="42" w:name="_Toc16727"/>
      <w:bookmarkStart w:id="43" w:name="_Toc17426"/>
      <w:bookmarkStart w:id="44" w:name="_Toc2300"/>
      <w:bookmarkStart w:id="45" w:name="_Toc14978"/>
      <w:bookmarkStart w:id="46" w:name="_Toc11028"/>
      <w:bookmarkStart w:id="47" w:name="_Toc3439"/>
      <w:bookmarkStart w:id="48" w:name="_Toc5813"/>
      <w:bookmarkStart w:id="49" w:name="_Toc13768"/>
      <w:bookmarkStart w:id="50" w:name="_Toc17771"/>
      <w:bookmarkStart w:id="51" w:name="_Toc527"/>
      <w:bookmarkStart w:id="52" w:name="_Toc21702"/>
      <w:bookmarkStart w:id="53" w:name="_Toc25046"/>
      <w:bookmarkStart w:id="54" w:name="_Toc17437"/>
      <w:bookmarkStart w:id="55" w:name="_Toc25283"/>
      <w:bookmarkStart w:id="56" w:name="_Toc19423"/>
      <w:bookmarkStart w:id="57" w:name="_Toc23926"/>
      <w:r>
        <w:rPr>
          <w:rFonts w:hint="eastAsia" w:hAnsi="Times New Roman" w:cs="Times New Roman"/>
        </w:rPr>
        <w:t>规范性引用文件</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39D94245">
      <w:pPr>
        <w:spacing w:before="0" w:beforeLines="0"/>
        <w:ind w:firstLine="420"/>
        <w:rPr>
          <w:rFonts w:ascii="Times New Roman" w:hAnsi="Times New Roman" w:cs="Times New Roman"/>
        </w:rPr>
      </w:pPr>
      <w:bookmarkStart w:id="58" w:name="OLE_LINK8"/>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bookmarkEnd w:id="58"/>
      <w:bookmarkStart w:id="59" w:name="OLE_LINK10"/>
      <w:bookmarkStart w:id="60" w:name="OLE_LINK53"/>
      <w:bookmarkStart w:id="61" w:name="OLE_LINK45"/>
    </w:p>
    <w:p w14:paraId="4BB1FF36">
      <w:pPr>
        <w:spacing w:before="0" w:beforeLines="0"/>
        <w:ind w:firstLine="420"/>
        <w:rPr>
          <w:rFonts w:ascii="Times New Roman" w:hAnsi="Times New Roman" w:cs="Times New Roman"/>
        </w:rPr>
      </w:pPr>
      <w:r>
        <w:rPr>
          <w:rFonts w:ascii="Times New Roman" w:hAnsi="Times New Roman" w:cs="Times New Roman"/>
        </w:rPr>
        <w:t>HJ 1175       全国生态状况调查评估技术规范——项目尺度生态影响评估</w:t>
      </w:r>
    </w:p>
    <w:bookmarkEnd w:id="59"/>
    <w:p w14:paraId="4C4E9146">
      <w:pPr>
        <w:spacing w:before="0" w:beforeLines="0"/>
        <w:ind w:firstLine="420"/>
        <w:rPr>
          <w:rFonts w:ascii="Times New Roman" w:hAnsi="Times New Roman" w:cs="Times New Roman"/>
        </w:rPr>
      </w:pPr>
      <w:r>
        <w:rPr>
          <w:rFonts w:ascii="Times New Roman" w:hAnsi="Times New Roman" w:cs="Times New Roman"/>
        </w:rPr>
        <w:t>HJ 1272       生态保护修复成效评估技术指南（试行）</w:t>
      </w:r>
    </w:p>
    <w:p w14:paraId="50BB4A77">
      <w:pPr>
        <w:spacing w:before="0" w:beforeLines="0"/>
        <w:ind w:firstLine="420"/>
        <w:rPr>
          <w:rFonts w:ascii="Times New Roman" w:hAnsi="Times New Roman" w:cs="Times New Roman"/>
        </w:rPr>
      </w:pPr>
      <w:r>
        <w:rPr>
          <w:rFonts w:ascii="Times New Roman" w:hAnsi="Times New Roman" w:cs="Times New Roman"/>
        </w:rPr>
        <w:t>TD/T 1068     国土空间生态保护修复工程实施方案编制规程</w:t>
      </w:r>
    </w:p>
    <w:p w14:paraId="5EB5AB29">
      <w:pPr>
        <w:spacing w:before="0" w:beforeLines="0"/>
        <w:ind w:firstLine="420"/>
        <w:rPr>
          <w:rFonts w:ascii="Times New Roman" w:hAnsi="Times New Roman" w:cs="Times New Roman"/>
        </w:rPr>
      </w:pPr>
      <w:r>
        <w:rPr>
          <w:rFonts w:ascii="Times New Roman" w:hAnsi="Times New Roman" w:cs="Times New Roman"/>
        </w:rPr>
        <w:t>TD/T 1069     国土空间生态保护修复工程验收规范</w:t>
      </w:r>
    </w:p>
    <w:p w14:paraId="7C5E196D">
      <w:pPr>
        <w:spacing w:before="0" w:beforeLines="0"/>
        <w:ind w:firstLine="420"/>
        <w:rPr>
          <w:rFonts w:ascii="Times New Roman" w:hAnsi="Times New Roman" w:cs="Times New Roman"/>
        </w:rPr>
      </w:pPr>
      <w:r>
        <w:rPr>
          <w:rFonts w:ascii="Times New Roman" w:hAnsi="Times New Roman" w:cs="Times New Roman"/>
        </w:rPr>
        <w:t>TD/T 1102     国土空间生态保护修复工程成效评估规范</w:t>
      </w:r>
    </w:p>
    <w:p w14:paraId="41F7BA4D">
      <w:pPr>
        <w:spacing w:before="0" w:beforeLines="0"/>
        <w:ind w:firstLine="420"/>
        <w:rPr>
          <w:rFonts w:ascii="Times New Roman" w:hAnsi="Times New Roman" w:cs="Times New Roman"/>
        </w:rPr>
      </w:pPr>
      <w:r>
        <w:rPr>
          <w:rFonts w:ascii="Times New Roman" w:hAnsi="Times New Roman" w:cs="Times New Roman"/>
        </w:rPr>
        <w:t>DB11/T 2253   国土空间生态修复规划实施体检评估规程</w:t>
      </w:r>
    </w:p>
    <w:bookmarkEnd w:id="60"/>
    <w:bookmarkEnd w:id="61"/>
    <w:p w14:paraId="681B8151">
      <w:pPr>
        <w:pStyle w:val="56"/>
        <w:widowControl/>
        <w:adjustRightInd/>
        <w:snapToGrid/>
        <w:spacing w:before="240" w:beforeLines="100" w:after="240" w:afterLines="100"/>
        <w:jc w:val="left"/>
        <w:outlineLvl w:val="1"/>
        <w:rPr>
          <w:rFonts w:hAnsi="Times New Roman" w:cs="Times New Roman"/>
        </w:rPr>
      </w:pPr>
      <w:bookmarkStart w:id="62" w:name="_Toc10734"/>
      <w:bookmarkStart w:id="63" w:name="_Toc31009"/>
      <w:bookmarkStart w:id="64" w:name="_Toc31087"/>
      <w:bookmarkStart w:id="65" w:name="_Toc24191"/>
      <w:bookmarkStart w:id="66" w:name="_Toc3090"/>
      <w:bookmarkStart w:id="67" w:name="_Toc18256"/>
      <w:bookmarkStart w:id="68" w:name="_Toc9873"/>
      <w:bookmarkStart w:id="69" w:name="_Toc2062"/>
      <w:bookmarkStart w:id="70" w:name="_Toc133"/>
      <w:bookmarkStart w:id="71" w:name="_Toc860"/>
      <w:bookmarkStart w:id="72" w:name="_Toc18215"/>
      <w:bookmarkStart w:id="73" w:name="_Toc18777"/>
      <w:bookmarkStart w:id="74" w:name="_Toc11271"/>
      <w:bookmarkStart w:id="75" w:name="_Toc2002"/>
      <w:bookmarkStart w:id="76" w:name="_Toc27842"/>
      <w:bookmarkStart w:id="77" w:name="_Toc9399"/>
      <w:r>
        <w:rPr>
          <w:rFonts w:hint="eastAsia" w:hAnsi="Times New Roman" w:cs="Times New Roman"/>
        </w:rPr>
        <w:t>术语和定义</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6A8CB9CA">
      <w:pPr>
        <w:spacing w:before="120"/>
        <w:ind w:firstLine="420"/>
        <w:rPr>
          <w:rFonts w:hint="eastAsia"/>
        </w:rPr>
      </w:pPr>
      <w:r>
        <w:rPr>
          <w:rFonts w:hint="eastAsia"/>
        </w:rPr>
        <w:t xml:space="preserve">下列术语和定义适用于本文件。 </w:t>
      </w:r>
    </w:p>
    <w:p w14:paraId="26265024">
      <w:pPr>
        <w:pStyle w:val="57"/>
        <w:spacing w:before="120" w:after="120" w:afterLines="50"/>
        <w:jc w:val="left"/>
        <w:outlineLvl w:val="2"/>
        <w:rPr>
          <w:rFonts w:hint="eastAsia" w:ascii="黑体" w:hAnsi="黑体" w:eastAsia="黑体" w:cs="黑体"/>
        </w:rPr>
      </w:pPr>
      <w:bookmarkStart w:id="78" w:name="_Toc26076"/>
      <w:bookmarkStart w:id="79" w:name="_Toc31554"/>
      <w:bookmarkStart w:id="80" w:name="_Toc17926"/>
      <w:bookmarkStart w:id="81" w:name="OLE_LINK39"/>
      <w:bookmarkStart w:id="82" w:name="OLE_LINK16"/>
      <w:r>
        <w:rPr>
          <w:rFonts w:hint="eastAsia" w:ascii="黑体" w:hAnsi="黑体" w:eastAsia="黑体" w:cs="黑体"/>
        </w:rPr>
        <w:t>国土空间生态修复 ecological restoration of territorial space</w:t>
      </w:r>
      <w:bookmarkEnd w:id="78"/>
      <w:bookmarkEnd w:id="79"/>
      <w:bookmarkEnd w:id="80"/>
    </w:p>
    <w:p w14:paraId="389A09F4">
      <w:pPr>
        <w:spacing w:before="0" w:beforeLines="0"/>
        <w:ind w:firstLine="420"/>
        <w:rPr>
          <w:rFonts w:hint="eastAsia"/>
        </w:rPr>
      </w:pPr>
      <w:r>
        <w:rPr>
          <w:rFonts w:hint="eastAsia"/>
        </w:rPr>
        <w:t>遵循生态系统演替规律和内在机理，基于自然地理格局，适应气候变化趋势，依据国土空间规划，对生态功能退化、生态系统受损、空间格局失衡、自然资源开发利用不合理的生态、农业、城镇国土空间，统筹和科学开展山水林田湖草沙一体化保护修复的活动。</w:t>
      </w:r>
    </w:p>
    <w:p w14:paraId="47343A0F">
      <w:pPr>
        <w:spacing w:before="0" w:beforeLines="0"/>
        <w:ind w:firstLine="420"/>
        <w:rPr>
          <w:rFonts w:hint="eastAsia"/>
        </w:rPr>
      </w:pPr>
      <w:r>
        <w:rPr>
          <w:rFonts w:hint="eastAsia"/>
        </w:rPr>
        <w:t>[来源：DB/T 2253，3.1]</w:t>
      </w:r>
    </w:p>
    <w:p w14:paraId="5E210032">
      <w:pPr>
        <w:pStyle w:val="57"/>
        <w:spacing w:before="120" w:after="120" w:afterLines="50"/>
        <w:jc w:val="left"/>
        <w:outlineLvl w:val="2"/>
        <w:rPr>
          <w:rFonts w:hint="eastAsia" w:ascii="黑体" w:hAnsi="黑体" w:eastAsia="黑体" w:cs="黑体"/>
        </w:rPr>
      </w:pPr>
      <w:bookmarkStart w:id="83" w:name="_Toc24787"/>
      <w:bookmarkStart w:id="84" w:name="_Toc24331"/>
      <w:bookmarkStart w:id="85" w:name="_Toc26785"/>
      <w:bookmarkStart w:id="86" w:name="OLE_LINK19"/>
      <w:bookmarkStart w:id="87" w:name="_Toc26436"/>
      <w:bookmarkStart w:id="88" w:name="_Toc24096"/>
      <w:bookmarkStart w:id="89" w:name="_Toc25233"/>
      <w:bookmarkStart w:id="90" w:name="_Toc23035"/>
      <w:bookmarkStart w:id="91" w:name="_Toc21251"/>
      <w:bookmarkStart w:id="92" w:name="_Toc20900"/>
      <w:bookmarkStart w:id="93" w:name="_Toc22416"/>
      <w:bookmarkStart w:id="94" w:name="_Toc9428"/>
      <w:bookmarkStart w:id="95" w:name="_Toc4320"/>
      <w:bookmarkStart w:id="96" w:name="_Toc6840"/>
      <w:r>
        <w:rPr>
          <w:rFonts w:hint="eastAsia" w:ascii="黑体" w:hAnsi="黑体" w:eastAsia="黑体" w:cs="黑体"/>
        </w:rPr>
        <w:t>评估基期 evaluation base period</w:t>
      </w:r>
      <w:bookmarkEnd w:id="83"/>
      <w:bookmarkEnd w:id="84"/>
      <w:bookmarkEnd w:id="85"/>
    </w:p>
    <w:p w14:paraId="293F7DF4">
      <w:pPr>
        <w:spacing w:before="0" w:beforeLines="0"/>
        <w:ind w:firstLine="420" w:firstLineChars="0"/>
        <w:rPr>
          <w:rFonts w:hint="eastAsia"/>
        </w:rPr>
      </w:pPr>
      <w:r>
        <w:rPr>
          <w:rFonts w:hint="eastAsia"/>
        </w:rPr>
        <w:t>被评估区域国土空间生态修复规划实施的前一年或基准年，作为与评估期各项评估指标进行对比的初始时间。在开展具体评估时，该制定年份也称为基期年。</w:t>
      </w:r>
    </w:p>
    <w:p w14:paraId="3FDA724B">
      <w:pPr>
        <w:spacing w:before="0" w:beforeLines="0"/>
        <w:ind w:firstLine="420" w:firstLineChars="0"/>
        <w:rPr>
          <w:rFonts w:hint="eastAsia"/>
        </w:rPr>
      </w:pPr>
      <w:r>
        <w:rPr>
          <w:rFonts w:hint="eastAsia"/>
        </w:rPr>
        <w:t>[来源：HJ 1272，3.8，有修改]</w:t>
      </w:r>
    </w:p>
    <w:bookmarkEnd w:id="86"/>
    <w:bookmarkEnd w:id="87"/>
    <w:bookmarkEnd w:id="88"/>
    <w:bookmarkEnd w:id="89"/>
    <w:bookmarkEnd w:id="90"/>
    <w:bookmarkEnd w:id="91"/>
    <w:bookmarkEnd w:id="92"/>
    <w:bookmarkEnd w:id="93"/>
    <w:bookmarkEnd w:id="94"/>
    <w:p w14:paraId="769DBE75">
      <w:pPr>
        <w:pStyle w:val="57"/>
        <w:spacing w:before="120" w:after="120" w:afterLines="50"/>
        <w:jc w:val="left"/>
        <w:outlineLvl w:val="2"/>
        <w:rPr>
          <w:rFonts w:hint="eastAsia" w:ascii="黑体" w:hAnsi="黑体" w:eastAsia="黑体" w:cs="黑体"/>
        </w:rPr>
      </w:pPr>
      <w:bookmarkStart w:id="97" w:name="_Toc9238"/>
      <w:bookmarkStart w:id="98" w:name="_Toc21035"/>
      <w:bookmarkStart w:id="99" w:name="_Toc23021"/>
      <w:bookmarkStart w:id="100" w:name="_Toc16308"/>
      <w:bookmarkStart w:id="101" w:name="_Toc20927"/>
      <w:bookmarkStart w:id="102" w:name="_Toc22253"/>
      <w:bookmarkStart w:id="103" w:name="_Toc1585"/>
      <w:bookmarkStart w:id="104" w:name="_Toc13266"/>
      <w:bookmarkStart w:id="105" w:name="_Toc1683"/>
      <w:bookmarkStart w:id="106" w:name="_Toc1359"/>
      <w:r>
        <w:rPr>
          <w:rFonts w:hint="eastAsia" w:ascii="黑体" w:hAnsi="黑体" w:eastAsia="黑体" w:cs="黑体"/>
        </w:rPr>
        <w:t>后期评估 post-evaluation</w:t>
      </w:r>
    </w:p>
    <w:p w14:paraId="20AEAF7B">
      <w:pPr>
        <w:widowControl/>
        <w:spacing w:before="0" w:beforeLines="0"/>
        <w:ind w:firstLine="420"/>
        <w:jc w:val="left"/>
        <w:rPr>
          <w:rFonts w:hint="eastAsia"/>
        </w:rPr>
      </w:pPr>
      <w:r>
        <w:t>在</w:t>
      </w:r>
      <w:r>
        <w:rPr>
          <w:rFonts w:hint="eastAsia"/>
        </w:rPr>
        <w:t>一个</w:t>
      </w:r>
      <w:r>
        <w:t>规划实施阶段</w:t>
      </w:r>
      <w:r>
        <w:rPr>
          <w:rFonts w:hint="eastAsia"/>
        </w:rPr>
        <w:t>结束后</w:t>
      </w:r>
      <w:r>
        <w:t>，</w:t>
      </w:r>
      <w:r>
        <w:rPr>
          <w:rFonts w:hint="eastAsia"/>
        </w:rPr>
        <w:t>按照</w:t>
      </w:r>
      <w:r>
        <w:t>规划</w:t>
      </w:r>
      <w:r>
        <w:rPr>
          <w:rFonts w:hint="eastAsia"/>
        </w:rPr>
        <w:t>目标要求的相关指标，评估</w:t>
      </w:r>
      <w:r>
        <w:rPr>
          <w:rFonts w:hint="eastAsia"/>
          <w:lang w:val="en-US" w:eastAsia="zh-CN"/>
        </w:rPr>
        <w:t>区域内</w:t>
      </w:r>
      <w:r>
        <w:rPr>
          <w:rFonts w:hint="eastAsia"/>
        </w:rPr>
        <w:t>规划实施的</w:t>
      </w:r>
      <w:r>
        <w:t>目标</w:t>
      </w:r>
      <w:r>
        <w:rPr>
          <w:rFonts w:hint="eastAsia"/>
        </w:rPr>
        <w:t>完成情况</w:t>
      </w:r>
      <w:r>
        <w:t>、</w:t>
      </w:r>
      <w:r>
        <w:rPr>
          <w:rFonts w:hint="eastAsia"/>
        </w:rPr>
        <w:t>生态效果和经济社会效果</w:t>
      </w:r>
      <w:r>
        <w:t>，</w:t>
      </w:r>
      <w:r>
        <w:rPr>
          <w:rFonts w:hint="eastAsia"/>
        </w:rPr>
        <w:t>并</w:t>
      </w:r>
      <w:r>
        <w:t>对</w:t>
      </w:r>
      <w:r>
        <w:rPr>
          <w:rFonts w:hint="eastAsia"/>
          <w:lang w:val="en-US" w:eastAsia="zh-CN"/>
        </w:rPr>
        <w:t>评估结果</w:t>
      </w:r>
      <w:r>
        <w:t>进行系统、客观分析的过程。</w:t>
      </w:r>
    </w:p>
    <w:p w14:paraId="3435F68F">
      <w:pPr>
        <w:pStyle w:val="57"/>
        <w:spacing w:before="120" w:after="120" w:afterLines="50"/>
        <w:jc w:val="left"/>
        <w:outlineLvl w:val="2"/>
        <w:rPr>
          <w:rFonts w:hint="eastAsia" w:ascii="黑体" w:hAnsi="黑体" w:eastAsia="黑体" w:cs="黑体"/>
        </w:rPr>
      </w:pPr>
      <w:r>
        <w:rPr>
          <w:rFonts w:hint="eastAsia" w:ascii="黑体" w:hAnsi="黑体" w:eastAsia="黑体" w:cs="黑体"/>
        </w:rPr>
        <w:t>生态系统服务 ecosystem services</w:t>
      </w:r>
      <w:bookmarkEnd w:id="95"/>
      <w:bookmarkEnd w:id="97"/>
      <w:bookmarkEnd w:id="98"/>
      <w:bookmarkEnd w:id="99"/>
      <w:bookmarkEnd w:id="100"/>
      <w:bookmarkEnd w:id="101"/>
      <w:bookmarkEnd w:id="102"/>
      <w:bookmarkEnd w:id="103"/>
      <w:bookmarkEnd w:id="104"/>
      <w:bookmarkEnd w:id="105"/>
      <w:bookmarkEnd w:id="106"/>
      <w:r>
        <w:rPr>
          <w:rFonts w:hint="eastAsia" w:ascii="黑体" w:hAnsi="黑体" w:eastAsia="黑体" w:cs="黑体"/>
        </w:rPr>
        <w:t xml:space="preserve"> </w:t>
      </w:r>
    </w:p>
    <w:p w14:paraId="25D2E77E">
      <w:pPr>
        <w:spacing w:before="0" w:beforeLines="0"/>
        <w:ind w:firstLine="420"/>
        <w:rPr>
          <w:rFonts w:hint="eastAsia"/>
        </w:rPr>
      </w:pPr>
      <w:r>
        <w:rPr>
          <w:rFonts w:hint="eastAsia"/>
        </w:rPr>
        <w:t>指人类从生态系统获取的利益。主要包括防风固沙、土壤保持、水源涵养、生物多样性维持等方面的服务。</w:t>
      </w:r>
    </w:p>
    <w:p w14:paraId="377A63B1">
      <w:pPr>
        <w:spacing w:before="0" w:beforeLines="0"/>
        <w:ind w:firstLine="420"/>
        <w:rPr>
          <w:rFonts w:hint="eastAsia"/>
        </w:rPr>
      </w:pPr>
      <w:r>
        <w:rPr>
          <w:rFonts w:hint="eastAsia"/>
        </w:rPr>
        <w:t>[来源：</w:t>
      </w:r>
      <w:bookmarkStart w:id="107" w:name="OLE_LINK56"/>
      <w:r>
        <w:rPr>
          <w:rFonts w:hint="eastAsia"/>
        </w:rPr>
        <w:t>HJ 1175</w:t>
      </w:r>
      <w:bookmarkEnd w:id="107"/>
      <w:r>
        <w:rPr>
          <w:rFonts w:hint="eastAsia"/>
        </w:rPr>
        <w:t>,3.1]</w:t>
      </w:r>
    </w:p>
    <w:p w14:paraId="1E4FA991">
      <w:pPr>
        <w:pStyle w:val="57"/>
        <w:spacing w:before="120" w:after="120" w:afterLines="50"/>
        <w:jc w:val="left"/>
        <w:outlineLvl w:val="2"/>
        <w:rPr>
          <w:rFonts w:hint="eastAsia" w:ascii="黑体" w:hAnsi="黑体" w:eastAsia="黑体" w:cs="黑体"/>
        </w:rPr>
      </w:pPr>
      <w:bookmarkStart w:id="108" w:name="OLE_LINK14"/>
      <w:bookmarkStart w:id="109" w:name="_Toc12769"/>
      <w:bookmarkStart w:id="110" w:name="_Toc27699"/>
      <w:bookmarkStart w:id="111" w:name="_Toc4383"/>
      <w:bookmarkStart w:id="112" w:name="_Toc21447"/>
      <w:bookmarkStart w:id="113" w:name="_Toc17233"/>
      <w:bookmarkStart w:id="114" w:name="_Toc8859"/>
      <w:bookmarkStart w:id="115" w:name="_Toc14732"/>
      <w:bookmarkStart w:id="116" w:name="_Toc6225"/>
      <w:bookmarkStart w:id="117" w:name="_Toc6759"/>
      <w:bookmarkStart w:id="118" w:name="_Toc6748"/>
      <w:r>
        <w:rPr>
          <w:rFonts w:hint="eastAsia" w:ascii="黑体" w:hAnsi="黑体" w:eastAsia="黑体" w:cs="黑体"/>
        </w:rPr>
        <w:t>景观格局</w:t>
      </w:r>
      <w:bookmarkEnd w:id="108"/>
      <w:r>
        <w:rPr>
          <w:rFonts w:hint="eastAsia" w:ascii="黑体" w:hAnsi="黑体" w:eastAsia="黑体" w:cs="黑体"/>
        </w:rPr>
        <w:t xml:space="preserve"> landscape pattern</w:t>
      </w:r>
      <w:bookmarkEnd w:id="109"/>
      <w:bookmarkEnd w:id="110"/>
      <w:bookmarkEnd w:id="111"/>
      <w:bookmarkEnd w:id="112"/>
      <w:bookmarkEnd w:id="113"/>
      <w:bookmarkEnd w:id="114"/>
      <w:bookmarkEnd w:id="115"/>
      <w:bookmarkEnd w:id="116"/>
      <w:bookmarkEnd w:id="117"/>
      <w:bookmarkEnd w:id="118"/>
    </w:p>
    <w:p w14:paraId="15A3506C">
      <w:pPr>
        <w:spacing w:before="0" w:beforeLines="0"/>
        <w:ind w:firstLine="420" w:firstLineChars="0"/>
        <w:rPr>
          <w:rFonts w:hint="eastAsia"/>
        </w:rPr>
      </w:pPr>
      <w:r>
        <w:t>指一定空间尺度上，不同类型、大小、形状的自然或人为景观单元在空间中的组合与分布方式，反映区域生态空间的复杂性、完整性与生态连通性。</w:t>
      </w:r>
    </w:p>
    <w:bookmarkEnd w:id="96"/>
    <w:p w14:paraId="428F46F8">
      <w:pPr>
        <w:pStyle w:val="57"/>
        <w:spacing w:before="120" w:after="120" w:afterLines="50"/>
        <w:jc w:val="left"/>
        <w:outlineLvl w:val="2"/>
        <w:rPr>
          <w:rFonts w:hint="eastAsia" w:ascii="黑体" w:hAnsi="黑体" w:eastAsia="黑体" w:cs="黑体"/>
        </w:rPr>
      </w:pPr>
      <w:bookmarkStart w:id="119" w:name="_Toc8071"/>
      <w:bookmarkStart w:id="120" w:name="_Toc28560"/>
      <w:bookmarkStart w:id="121" w:name="_Toc28591"/>
      <w:r>
        <w:rPr>
          <w:rFonts w:hint="eastAsia" w:ascii="黑体" w:hAnsi="黑体" w:eastAsia="黑体" w:cs="黑体"/>
        </w:rPr>
        <w:t>生态效果 ecological effects</w:t>
      </w:r>
      <w:bookmarkEnd w:id="119"/>
      <w:bookmarkEnd w:id="120"/>
      <w:bookmarkEnd w:id="121"/>
    </w:p>
    <w:p w14:paraId="27492CE8">
      <w:pPr>
        <w:widowControl/>
        <w:spacing w:before="0" w:beforeLines="0"/>
        <w:ind w:firstLine="420"/>
        <w:jc w:val="left"/>
        <w:rPr>
          <w:rFonts w:hint="eastAsia"/>
        </w:rPr>
      </w:pPr>
      <w:r>
        <w:rPr>
          <w:rFonts w:hint="eastAsia"/>
        </w:rPr>
        <w:t>在生态系统服务和景观格局两个</w:t>
      </w:r>
      <w:r>
        <w:rPr>
          <w:rFonts w:hint="eastAsia"/>
          <w:lang w:eastAsia="zh-CN"/>
        </w:rPr>
        <w:t>方面</w:t>
      </w:r>
      <w:r>
        <w:rPr>
          <w:rFonts w:hint="eastAsia"/>
        </w:rPr>
        <w:t>的生态提升效果，主要表现为洪水调蓄服务、水源涵养服务等生态服务功能类指标和景观破碎度、景观多样性等景观格局类指标。</w:t>
      </w:r>
    </w:p>
    <w:p w14:paraId="2112F92B">
      <w:pPr>
        <w:pStyle w:val="57"/>
        <w:spacing w:before="120" w:after="120" w:afterLines="50"/>
        <w:jc w:val="left"/>
        <w:outlineLvl w:val="2"/>
        <w:rPr>
          <w:rFonts w:hint="eastAsia" w:ascii="黑体" w:hAnsi="黑体" w:eastAsia="黑体" w:cs="黑体"/>
        </w:rPr>
      </w:pPr>
      <w:bookmarkStart w:id="122" w:name="_Toc30211"/>
      <w:bookmarkStart w:id="123" w:name="_Toc30166"/>
      <w:bookmarkStart w:id="124" w:name="_Toc7395"/>
      <w:bookmarkStart w:id="125" w:name="OLE_LINK23"/>
      <w:r>
        <w:rPr>
          <w:rFonts w:hint="eastAsia" w:ascii="黑体" w:hAnsi="黑体" w:eastAsia="黑体" w:cs="黑体"/>
        </w:rPr>
        <w:t>经济社会效果 socioeconomic effects</w:t>
      </w:r>
      <w:bookmarkEnd w:id="122"/>
      <w:bookmarkEnd w:id="123"/>
      <w:bookmarkEnd w:id="124"/>
    </w:p>
    <w:bookmarkEnd w:id="125"/>
    <w:p w14:paraId="08D6C8BF">
      <w:pPr>
        <w:widowControl/>
        <w:spacing w:before="0" w:beforeLines="0"/>
        <w:ind w:firstLine="420"/>
        <w:jc w:val="left"/>
        <w:rPr>
          <w:rFonts w:hint="eastAsia"/>
        </w:rPr>
      </w:pPr>
      <w:r>
        <w:rPr>
          <w:rFonts w:hint="eastAsia"/>
        </w:rPr>
        <w:t>分为经济效果类和社会效果类两个方面，表征在生态产业产值等经济类指标和提高居民满意度等社会类指标的完成情况。</w:t>
      </w:r>
    </w:p>
    <w:p w14:paraId="6113EA17">
      <w:pPr>
        <w:pStyle w:val="57"/>
        <w:spacing w:before="120" w:after="120" w:afterLines="50"/>
        <w:jc w:val="left"/>
        <w:outlineLvl w:val="2"/>
        <w:rPr>
          <w:rFonts w:hint="eastAsia" w:ascii="黑体" w:hAnsi="黑体" w:eastAsia="黑体" w:cs="黑体"/>
        </w:rPr>
      </w:pPr>
      <w:bookmarkStart w:id="126" w:name="OLE_LINK28"/>
      <w:r>
        <w:rPr>
          <w:rFonts w:hint="eastAsia" w:ascii="黑体" w:hAnsi="黑体" w:eastAsia="黑体" w:cs="黑体"/>
          <w:lang w:val="en-US" w:eastAsia="zh-CN"/>
        </w:rPr>
        <w:t>综合</w:t>
      </w:r>
      <w:r>
        <w:rPr>
          <w:rFonts w:hint="eastAsia" w:ascii="黑体" w:hAnsi="黑体" w:eastAsia="黑体" w:cs="黑体"/>
        </w:rPr>
        <w:t xml:space="preserve">效果 </w:t>
      </w:r>
      <w:bookmarkStart w:id="127" w:name="OLE_LINK29"/>
      <w:r>
        <w:rPr>
          <w:rFonts w:hint="eastAsia" w:ascii="黑体" w:hAnsi="黑体" w:eastAsia="黑体" w:cs="黑体"/>
        </w:rPr>
        <w:t>comprehensive</w:t>
      </w:r>
      <w:bookmarkEnd w:id="127"/>
      <w:r>
        <w:rPr>
          <w:rFonts w:hint="eastAsia" w:ascii="黑体" w:hAnsi="黑体" w:eastAsia="黑体" w:cs="黑体"/>
        </w:rPr>
        <w:t xml:space="preserve"> effects</w:t>
      </w:r>
    </w:p>
    <w:bookmarkEnd w:id="126"/>
    <w:p w14:paraId="5228AAC1">
      <w:pPr>
        <w:widowControl/>
        <w:spacing w:before="0" w:beforeLines="0"/>
        <w:ind w:firstLine="420"/>
        <w:jc w:val="left"/>
        <w:rPr>
          <w:rFonts w:hint="default" w:ascii="宋体" w:hAnsi="宋体" w:eastAsia="宋体" w:cs="宋体"/>
          <w:sz w:val="24"/>
          <w:szCs w:val="24"/>
          <w:lang w:val="en-US" w:eastAsia="zh-CN"/>
        </w:rPr>
      </w:pPr>
      <w:r>
        <w:rPr>
          <w:rFonts w:ascii="宋体" w:hAnsi="宋体" w:eastAsia="宋体" w:cstheme="minorBidi"/>
          <w:kern w:val="2"/>
          <w:sz w:val="21"/>
          <w:szCs w:val="24"/>
          <w:lang w:val="en-US" w:eastAsia="zh-CN" w:bidi="ar"/>
        </w:rPr>
        <w:t>基于规划目标完成度、生态效果提升率和经济社会效果改善度</w:t>
      </w:r>
      <w:r>
        <w:rPr>
          <w:rFonts w:hint="eastAsia" w:ascii="宋体" w:hAnsi="宋体" w:eastAsia="宋体" w:cstheme="minorBidi"/>
          <w:kern w:val="2"/>
          <w:sz w:val="21"/>
          <w:szCs w:val="24"/>
          <w:lang w:val="en-US" w:eastAsia="zh-CN" w:bidi="ar"/>
        </w:rPr>
        <w:t>相关指标</w:t>
      </w:r>
      <w:r>
        <w:rPr>
          <w:rFonts w:ascii="宋体" w:hAnsi="宋体" w:eastAsia="宋体" w:cstheme="minorBidi"/>
          <w:kern w:val="2"/>
          <w:sz w:val="21"/>
          <w:szCs w:val="24"/>
          <w:lang w:val="en-US" w:eastAsia="zh-CN" w:bidi="ar"/>
        </w:rPr>
        <w:t>，</w:t>
      </w:r>
      <w:r>
        <w:rPr>
          <w:rFonts w:hint="eastAsia" w:ascii="宋体" w:hAnsi="宋体" w:eastAsia="宋体" w:cstheme="minorBidi"/>
          <w:kern w:val="2"/>
          <w:sz w:val="21"/>
          <w:szCs w:val="24"/>
          <w:lang w:val="en-US" w:eastAsia="zh-CN" w:bidi="ar"/>
        </w:rPr>
        <w:t>以</w:t>
      </w:r>
      <w:r>
        <w:rPr>
          <w:rFonts w:ascii="宋体" w:hAnsi="宋体" w:eastAsia="宋体" w:cstheme="minorBidi"/>
          <w:kern w:val="2"/>
          <w:sz w:val="21"/>
          <w:szCs w:val="24"/>
          <w:lang w:val="en-US" w:eastAsia="zh-CN" w:bidi="ar"/>
        </w:rPr>
        <w:t>约束性指标</w:t>
      </w:r>
      <w:r>
        <w:rPr>
          <w:rFonts w:hint="eastAsia" w:ascii="宋体" w:hAnsi="宋体" w:eastAsia="宋体" w:cstheme="minorBidi"/>
          <w:kern w:val="2"/>
          <w:sz w:val="21"/>
          <w:szCs w:val="24"/>
          <w:lang w:val="en-US" w:eastAsia="zh-CN" w:bidi="ar"/>
        </w:rPr>
        <w:t>为</w:t>
      </w:r>
      <w:r>
        <w:rPr>
          <w:rFonts w:ascii="宋体" w:hAnsi="宋体" w:eastAsia="宋体" w:cstheme="minorBidi"/>
          <w:kern w:val="2"/>
          <w:sz w:val="21"/>
          <w:szCs w:val="24"/>
          <w:lang w:val="en-US" w:eastAsia="zh-CN" w:bidi="ar"/>
        </w:rPr>
        <w:t>刚性约束，对国土空间生态修复规划实施综合成效进行的整体</w:t>
      </w:r>
      <w:r>
        <w:rPr>
          <w:rFonts w:hint="eastAsia" w:ascii="宋体" w:hAnsi="宋体" w:eastAsia="宋体" w:cstheme="minorBidi"/>
          <w:kern w:val="2"/>
          <w:sz w:val="21"/>
          <w:szCs w:val="24"/>
          <w:lang w:val="en-US" w:eastAsia="zh-CN" w:bidi="ar"/>
        </w:rPr>
        <w:t>分级评估</w:t>
      </w:r>
      <w:r>
        <w:rPr>
          <w:rFonts w:ascii="宋体" w:hAnsi="宋体" w:eastAsia="宋体" w:cstheme="minorBidi"/>
          <w:kern w:val="2"/>
          <w:sz w:val="21"/>
          <w:szCs w:val="24"/>
          <w:lang w:val="en-US" w:eastAsia="zh-CN" w:bidi="ar"/>
        </w:rPr>
        <w:t>。</w:t>
      </w:r>
    </w:p>
    <w:bookmarkEnd w:id="81"/>
    <w:bookmarkEnd w:id="82"/>
    <w:p w14:paraId="08EC6BDA">
      <w:pPr>
        <w:pStyle w:val="56"/>
        <w:widowControl/>
        <w:snapToGrid/>
        <w:spacing w:before="240" w:beforeLines="100" w:after="240" w:afterLines="100"/>
        <w:jc w:val="left"/>
        <w:outlineLvl w:val="1"/>
        <w:rPr>
          <w:rFonts w:hAnsi="Times New Roman" w:cs="Times New Roman"/>
        </w:rPr>
      </w:pPr>
      <w:bookmarkStart w:id="128" w:name="_Toc9411"/>
      <w:bookmarkStart w:id="129" w:name="_Toc13525"/>
      <w:bookmarkStart w:id="130" w:name="_Toc8539"/>
      <w:bookmarkStart w:id="131" w:name="_Toc18315"/>
      <w:bookmarkStart w:id="132" w:name="_Toc17544"/>
      <w:bookmarkStart w:id="133" w:name="_Toc10693"/>
      <w:bookmarkStart w:id="134" w:name="_Toc15487"/>
      <w:bookmarkStart w:id="135" w:name="_Toc27172"/>
      <w:r>
        <w:rPr>
          <w:rFonts w:hint="eastAsia" w:hAnsi="Times New Roman" w:cs="Times New Roman"/>
        </w:rPr>
        <w:t>总体要求</w:t>
      </w:r>
      <w:bookmarkEnd w:id="128"/>
      <w:bookmarkEnd w:id="129"/>
      <w:bookmarkEnd w:id="130"/>
      <w:bookmarkEnd w:id="131"/>
      <w:bookmarkEnd w:id="132"/>
      <w:bookmarkEnd w:id="133"/>
      <w:bookmarkEnd w:id="134"/>
      <w:bookmarkEnd w:id="135"/>
    </w:p>
    <w:p w14:paraId="6C232676">
      <w:pPr>
        <w:pStyle w:val="57"/>
        <w:spacing w:before="120" w:after="120" w:afterLines="50"/>
        <w:jc w:val="left"/>
        <w:outlineLvl w:val="2"/>
        <w:rPr>
          <w:rFonts w:hint="eastAsia" w:ascii="黑体" w:hAnsi="黑体" w:eastAsia="黑体" w:cs="黑体"/>
        </w:rPr>
      </w:pPr>
      <w:bookmarkStart w:id="136" w:name="_Toc6525"/>
      <w:bookmarkStart w:id="137" w:name="_Toc21078"/>
      <w:bookmarkStart w:id="138" w:name="_Toc31054"/>
      <w:bookmarkStart w:id="139" w:name="_Toc12120"/>
      <w:bookmarkStart w:id="140" w:name="_Toc29852"/>
      <w:bookmarkStart w:id="141" w:name="_Toc26147"/>
      <w:bookmarkStart w:id="142" w:name="_Toc14572"/>
      <w:bookmarkStart w:id="143" w:name="_Toc30764"/>
      <w:bookmarkStart w:id="144" w:name="_Toc23272"/>
      <w:bookmarkStart w:id="145" w:name="_Toc30220"/>
      <w:bookmarkStart w:id="146" w:name="_Toc21282"/>
      <w:bookmarkStart w:id="147" w:name="_Toc27996"/>
      <w:bookmarkStart w:id="148" w:name="_Toc12686"/>
      <w:bookmarkStart w:id="149" w:name="_Toc21762"/>
      <w:bookmarkStart w:id="150" w:name="_Toc31459"/>
      <w:bookmarkStart w:id="151" w:name="_Toc30829"/>
      <w:r>
        <w:rPr>
          <w:rFonts w:hint="eastAsia" w:ascii="黑体" w:hAnsi="黑体" w:eastAsia="黑体" w:cs="黑体"/>
        </w:rPr>
        <w:t>目的</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2BBFD9A6">
      <w:pPr>
        <w:spacing w:before="0" w:beforeLines="0"/>
        <w:ind w:firstLine="420"/>
        <w:rPr>
          <w:rFonts w:hint="eastAsia"/>
        </w:rPr>
      </w:pPr>
      <w:r>
        <w:t>通过对</w:t>
      </w:r>
      <w:bookmarkStart w:id="152" w:name="OLE_LINK60"/>
      <w:r>
        <w:rPr>
          <w:rFonts w:hint="eastAsia"/>
        </w:rPr>
        <w:t>省、市（地、州）和县（市、区）级</w:t>
      </w:r>
      <w:r>
        <w:t>国土空间生态修复规划</w:t>
      </w:r>
      <w:bookmarkEnd w:id="152"/>
      <w:r>
        <w:t>实施情况的系统评估，重点围绕生态问题治理成效、规划目标指标</w:t>
      </w:r>
      <w:r>
        <w:rPr>
          <w:rFonts w:hint="eastAsia"/>
        </w:rPr>
        <w:t>完成情况</w:t>
      </w:r>
      <w:r>
        <w:t>、重大</w:t>
      </w:r>
      <w:r>
        <w:rPr>
          <w:rFonts w:hint="eastAsia"/>
        </w:rPr>
        <w:t>生态修复</w:t>
      </w:r>
      <w:r>
        <w:t>工程推进情况与综合</w:t>
      </w:r>
      <w:r>
        <w:rPr>
          <w:rFonts w:hint="eastAsia"/>
          <w:lang w:val="en-US" w:eastAsia="zh-CN"/>
        </w:rPr>
        <w:t>效果</w:t>
      </w:r>
      <w:r>
        <w:t>表现</w:t>
      </w:r>
      <w:r>
        <w:rPr>
          <w:rFonts w:hint="eastAsia"/>
        </w:rPr>
        <w:t>等核心内容展开</w:t>
      </w:r>
      <w:r>
        <w:t>，</w:t>
      </w:r>
      <w:r>
        <w:rPr>
          <w:rFonts w:hint="eastAsia"/>
        </w:rPr>
        <w:t>通过</w:t>
      </w:r>
      <w:r>
        <w:t>明确评估对象与周期，建立科学合理的评价指标体系和技术路径，全面</w:t>
      </w:r>
      <w:r>
        <w:rPr>
          <w:rFonts w:hint="eastAsia"/>
        </w:rPr>
        <w:t>量化</w:t>
      </w:r>
      <w:r>
        <w:t>规划实施</w:t>
      </w:r>
      <w:r>
        <w:rPr>
          <w:rFonts w:hint="eastAsia"/>
        </w:rPr>
        <w:t>在提升生态系统质量、改善生态系统服务功能、优化景观格局</w:t>
      </w:r>
      <w:r>
        <w:t>以及</w:t>
      </w:r>
      <w:r>
        <w:rPr>
          <w:rFonts w:hint="eastAsia"/>
        </w:rPr>
        <w:t>产生</w:t>
      </w:r>
      <w:r>
        <w:t>经济</w:t>
      </w:r>
      <w:r>
        <w:rPr>
          <w:rFonts w:hint="eastAsia"/>
        </w:rPr>
        <w:t>社会</w:t>
      </w:r>
      <w:r>
        <w:rPr>
          <w:rFonts w:hint="eastAsia"/>
          <w:lang w:val="en-US" w:eastAsia="zh-CN"/>
        </w:rPr>
        <w:t>效果</w:t>
      </w:r>
      <w:r>
        <w:rPr>
          <w:rFonts w:hint="eastAsia"/>
        </w:rPr>
        <w:t>等方面的成效。最终形成客观的评判结论与可行的政策建议，为规划的动态优化、科学调整及后续有效实施提供核心支撑</w:t>
      </w:r>
      <w:r>
        <w:t>。</w:t>
      </w:r>
    </w:p>
    <w:p w14:paraId="4E89853E">
      <w:pPr>
        <w:pStyle w:val="57"/>
        <w:spacing w:before="120" w:after="120" w:afterLines="50"/>
        <w:jc w:val="left"/>
        <w:outlineLvl w:val="2"/>
        <w:rPr>
          <w:rFonts w:hint="eastAsia" w:ascii="黑体" w:hAnsi="黑体" w:eastAsia="黑体" w:cs="黑体"/>
        </w:rPr>
      </w:pPr>
      <w:bookmarkStart w:id="153" w:name="_Toc10317"/>
      <w:bookmarkStart w:id="154" w:name="_Toc27201"/>
      <w:bookmarkStart w:id="155" w:name="_Toc21337"/>
      <w:bookmarkStart w:id="156" w:name="_Toc5326"/>
      <w:bookmarkStart w:id="157" w:name="_Toc22876"/>
      <w:bookmarkStart w:id="158" w:name="_Toc22191"/>
      <w:bookmarkStart w:id="159" w:name="_Toc23055"/>
      <w:bookmarkStart w:id="160" w:name="_Toc14170"/>
      <w:bookmarkStart w:id="161" w:name="_Toc29922"/>
      <w:bookmarkStart w:id="162" w:name="_Toc16943"/>
      <w:bookmarkStart w:id="163" w:name="_Toc5636"/>
      <w:bookmarkStart w:id="164" w:name="_Toc11736"/>
      <w:bookmarkStart w:id="165" w:name="_Toc13941"/>
      <w:bookmarkStart w:id="166" w:name="_Toc5612"/>
      <w:bookmarkStart w:id="167" w:name="_Toc4164"/>
      <w:bookmarkStart w:id="168" w:name="_Toc8585"/>
      <w:r>
        <w:rPr>
          <w:rFonts w:hint="eastAsia" w:ascii="黑体" w:hAnsi="黑体" w:eastAsia="黑体" w:cs="黑体"/>
        </w:rPr>
        <w:t>原则</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3413751C">
      <w:pPr>
        <w:pStyle w:val="56"/>
        <w:numPr>
          <w:ilvl w:val="2"/>
          <w:numId w:val="7"/>
        </w:numPr>
        <w:spacing w:before="120" w:after="120" w:afterLines="50"/>
        <w:jc w:val="left"/>
        <w:outlineLvl w:val="3"/>
        <w:rPr>
          <w:rFonts w:hint="eastAsia"/>
        </w:rPr>
      </w:pPr>
      <w:r>
        <w:rPr>
          <w:rFonts w:hint="eastAsia"/>
        </w:rPr>
        <w:t>规划目标导向性</w:t>
      </w:r>
    </w:p>
    <w:p w14:paraId="6C743C37">
      <w:pPr>
        <w:spacing w:before="0" w:beforeLines="0"/>
        <w:ind w:firstLine="420"/>
        <w:rPr>
          <w:rFonts w:hint="eastAsia"/>
        </w:rPr>
      </w:pPr>
      <w:r>
        <w:rPr>
          <w:rFonts w:hint="eastAsia"/>
        </w:rPr>
        <w:t>以国土空间生态修复规划既定约束指标、修复任务、生态建设目标为核心标尺，对照规划文本逐项核验落地完成情况，围绕目标达成程度开展综</w:t>
      </w:r>
      <w:r>
        <w:rPr>
          <w:rFonts w:hint="eastAsia"/>
          <w:lang w:val="en-US" w:eastAsia="zh-CN"/>
        </w:rPr>
        <w:t>合评判，确保评估结果与规划目标紧密衔接。</w:t>
      </w:r>
    </w:p>
    <w:p w14:paraId="40B1A839">
      <w:pPr>
        <w:pStyle w:val="56"/>
        <w:numPr>
          <w:ilvl w:val="2"/>
          <w:numId w:val="7"/>
        </w:numPr>
        <w:spacing w:before="120" w:after="120" w:afterLines="50"/>
        <w:jc w:val="left"/>
        <w:outlineLvl w:val="3"/>
        <w:rPr>
          <w:rFonts w:hint="eastAsia"/>
        </w:rPr>
      </w:pPr>
      <w:r>
        <w:rPr>
          <w:rFonts w:hint="eastAsia"/>
        </w:rPr>
        <w:t>长期成效客观性</w:t>
      </w:r>
    </w:p>
    <w:p w14:paraId="480DABEE">
      <w:pPr>
        <w:widowControl/>
        <w:spacing w:before="0" w:beforeLines="0"/>
        <w:ind w:firstLine="420"/>
        <w:rPr>
          <w:rFonts w:hint="eastAsia"/>
          <w:lang w:bidi="ar"/>
        </w:rPr>
      </w:pPr>
      <w:r>
        <w:rPr>
          <w:rFonts w:hint="eastAsia"/>
          <w:lang w:bidi="ar"/>
        </w:rPr>
        <w:t>立足规划实施全周期与生态修复的长期影响，客观研判生态系统稳定改善效果，不局限于短期表象，真实反映长期治理成效与遗留问题，为规划动态调整提供可靠依据。</w:t>
      </w:r>
    </w:p>
    <w:p w14:paraId="496977E6">
      <w:pPr>
        <w:pStyle w:val="56"/>
        <w:numPr>
          <w:ilvl w:val="2"/>
          <w:numId w:val="7"/>
        </w:numPr>
        <w:spacing w:before="120" w:after="120" w:afterLines="50"/>
        <w:jc w:val="left"/>
        <w:outlineLvl w:val="3"/>
        <w:rPr>
          <w:rFonts w:hint="eastAsia"/>
        </w:rPr>
      </w:pPr>
      <w:r>
        <w:rPr>
          <w:rFonts w:hint="eastAsia"/>
          <w:lang w:val="en-US" w:eastAsia="zh-CN"/>
        </w:rPr>
        <w:t>科学</w:t>
      </w:r>
      <w:r>
        <w:rPr>
          <w:rFonts w:hint="eastAsia"/>
        </w:rPr>
        <w:t>可行性</w:t>
      </w:r>
    </w:p>
    <w:p w14:paraId="1DE10883">
      <w:pPr>
        <w:spacing w:before="0" w:beforeLines="0"/>
        <w:ind w:firstLine="420"/>
      </w:pPr>
      <w:r>
        <w:t>强化数据可得性与方法可操作性，综合采用定量与定性方法开展评估。评估目标设定应可衡量、可考核，评估指标应</w:t>
      </w:r>
      <w:r>
        <w:rPr>
          <w:rFonts w:hint="eastAsia"/>
          <w:lang w:eastAsia="zh-CN"/>
        </w:rPr>
        <w:t>具有</w:t>
      </w:r>
      <w:r>
        <w:t>可量化属性</w:t>
      </w:r>
      <w:r>
        <w:rPr>
          <w:rFonts w:hint="eastAsia"/>
          <w:lang w:eastAsia="zh-CN"/>
        </w:rPr>
        <w:t>，</w:t>
      </w:r>
      <w:r>
        <w:t>并可根据规划实施周期动态调整方法体系，增强评估的适应性和弹性。</w:t>
      </w:r>
    </w:p>
    <w:p w14:paraId="08AB7653">
      <w:pPr>
        <w:pStyle w:val="57"/>
        <w:numPr>
          <w:ilvl w:val="1"/>
          <w:numId w:val="7"/>
        </w:numPr>
        <w:spacing w:before="120" w:after="120" w:afterLines="50"/>
        <w:jc w:val="left"/>
        <w:outlineLvl w:val="2"/>
        <w:rPr>
          <w:rFonts w:hint="eastAsia" w:ascii="黑体" w:hAnsi="黑体" w:eastAsia="黑体" w:cs="黑体"/>
        </w:rPr>
      </w:pPr>
      <w:bookmarkStart w:id="169" w:name="_Toc31379"/>
      <w:bookmarkStart w:id="170" w:name="_Toc14205"/>
      <w:bookmarkStart w:id="171" w:name="_Toc4882"/>
      <w:bookmarkStart w:id="172" w:name="_Toc7580"/>
      <w:bookmarkStart w:id="173" w:name="_Toc26938"/>
      <w:bookmarkStart w:id="174" w:name="_Toc27716"/>
      <w:bookmarkStart w:id="175" w:name="_Toc26999"/>
      <w:bookmarkStart w:id="176" w:name="_Toc22203"/>
      <w:bookmarkStart w:id="177" w:name="_Toc21914"/>
      <w:bookmarkStart w:id="178" w:name="_Toc20197"/>
      <w:bookmarkStart w:id="179" w:name="_Toc30478"/>
      <w:bookmarkStart w:id="180" w:name="_Toc22071"/>
      <w:bookmarkStart w:id="181" w:name="_Toc20469"/>
      <w:bookmarkStart w:id="182" w:name="_Toc6894"/>
      <w:bookmarkStart w:id="183" w:name="_Toc13294"/>
      <w:bookmarkStart w:id="184" w:name="_Toc16193"/>
      <w:r>
        <w:rPr>
          <w:rFonts w:hint="eastAsia" w:ascii="黑体" w:hAnsi="黑体" w:eastAsia="黑体" w:cs="黑体"/>
        </w:rPr>
        <w:t>评估周期</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118DB66C">
      <w:pPr>
        <w:spacing w:before="0" w:beforeLines="0"/>
        <w:ind w:firstLine="420"/>
        <w:rPr>
          <w:rFonts w:hint="eastAsia"/>
        </w:rPr>
      </w:pPr>
      <w:r>
        <w:t>评估周期应依据规划实施不同阶段的绩效目标要求合理设定，原则上以规划实施起始年份作为评估基期，并对照各阶段绩效目标的时间节点确定评估周期，一</w:t>
      </w:r>
      <w:bookmarkStart w:id="185" w:name="OLE_LINK20"/>
      <w:r>
        <w:t>般划为五年、十年、十五年。为系统考察规划实施的长期效果与综合</w:t>
      </w:r>
      <w:r>
        <w:rPr>
          <w:rFonts w:hint="eastAsia"/>
          <w:lang w:val="en-US" w:eastAsia="zh-CN"/>
        </w:rPr>
        <w:t>效果</w:t>
      </w:r>
      <w:r>
        <w:t>，更好地判断重大工程完成情况，建议在规划期满后</w:t>
      </w:r>
      <w:r>
        <w:rPr>
          <w:rFonts w:hint="eastAsia"/>
          <w:lang w:eastAsia="zh-CN"/>
        </w:rPr>
        <w:t>2～3年</w:t>
      </w:r>
      <w:r>
        <w:t>设置评估期（亦称“</w:t>
      </w:r>
      <w:bookmarkStart w:id="186" w:name="OLE_LINK5"/>
      <w:r>
        <w:t>评估年</w:t>
      </w:r>
      <w:bookmarkEnd w:id="186"/>
      <w:r>
        <w:t>”）</w:t>
      </w:r>
      <w:bookmarkEnd w:id="185"/>
      <w:r>
        <w:t>。必要时可根据实施情况开展阶段性专项评估，形成定期评估与动态调整相结合的常态化评估机制。</w:t>
      </w:r>
    </w:p>
    <w:p w14:paraId="643EC035">
      <w:pPr>
        <w:pStyle w:val="57"/>
        <w:numPr>
          <w:ilvl w:val="1"/>
          <w:numId w:val="7"/>
        </w:numPr>
        <w:spacing w:before="120" w:after="120" w:afterLines="50"/>
        <w:jc w:val="left"/>
        <w:outlineLvl w:val="2"/>
        <w:rPr>
          <w:rFonts w:hint="eastAsia" w:ascii="黑体" w:hAnsi="黑体" w:eastAsia="黑体" w:cs="黑体"/>
        </w:rPr>
      </w:pPr>
      <w:bookmarkStart w:id="187" w:name="_Toc20306"/>
      <w:bookmarkStart w:id="188" w:name="_Toc10744"/>
      <w:bookmarkStart w:id="189" w:name="_Toc627"/>
      <w:bookmarkStart w:id="190" w:name="_Toc19612"/>
      <w:bookmarkStart w:id="191" w:name="_Toc13122"/>
      <w:bookmarkStart w:id="192" w:name="_Toc31047"/>
      <w:bookmarkStart w:id="193" w:name="_Toc32277"/>
      <w:bookmarkStart w:id="194" w:name="_Toc12590"/>
      <w:bookmarkStart w:id="195" w:name="_Toc17125"/>
      <w:bookmarkStart w:id="196" w:name="_Toc11519"/>
      <w:bookmarkStart w:id="197" w:name="_Toc16101"/>
      <w:bookmarkStart w:id="198" w:name="_Toc32741"/>
      <w:bookmarkStart w:id="199" w:name="_Toc14939"/>
      <w:bookmarkStart w:id="200" w:name="_Toc8023"/>
      <w:bookmarkStart w:id="201" w:name="_Toc21874"/>
      <w:bookmarkStart w:id="202" w:name="_Toc10980"/>
      <w:r>
        <w:rPr>
          <w:rFonts w:hint="eastAsia" w:ascii="黑体" w:hAnsi="黑体" w:eastAsia="黑体" w:cs="黑体"/>
        </w:rPr>
        <w:t>评估流程</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37111C75">
      <w:pPr>
        <w:spacing w:before="0" w:beforeLines="0"/>
        <w:ind w:firstLine="420"/>
      </w:pPr>
      <w:r>
        <w:t>国土空间生态修复规划实施后期评估的整体流程包括：</w:t>
      </w:r>
      <w:r>
        <w:rPr>
          <w:rFonts w:hint="eastAsia"/>
          <w:lang w:val="en-US" w:eastAsia="zh-CN"/>
        </w:rPr>
        <w:t>前期准备、数据采集与核查、</w:t>
      </w:r>
      <w:bookmarkStart w:id="203" w:name="OLE_LINK71"/>
      <w:r>
        <w:t>评估结果与分级</w:t>
      </w:r>
      <w:bookmarkEnd w:id="203"/>
      <w:r>
        <w:t>、</w:t>
      </w:r>
      <w:r>
        <w:rPr>
          <w:rFonts w:hint="eastAsia"/>
          <w:lang w:val="en-US" w:eastAsia="zh-CN"/>
        </w:rPr>
        <w:t>综合效果评估、评估结果分析</w:t>
      </w:r>
      <w:r>
        <w:t>及</w:t>
      </w:r>
      <w:r>
        <w:rPr>
          <w:rFonts w:hint="eastAsia"/>
          <w:lang w:val="en-US" w:eastAsia="zh-CN"/>
        </w:rPr>
        <w:t>报告编制与</w:t>
      </w:r>
      <w:r>
        <w:t>成果管理等</w:t>
      </w:r>
      <w:r>
        <w:rPr>
          <w:rFonts w:hint="eastAsia"/>
          <w:lang w:val="en-US" w:eastAsia="zh-CN"/>
        </w:rPr>
        <w:t>六</w:t>
      </w:r>
      <w:r>
        <w:t>个阶段。具体流程见图1。</w:t>
      </w:r>
    </w:p>
    <w:p w14:paraId="09E5066C">
      <w:pPr>
        <w:spacing w:before="0" w:beforeLines="0"/>
        <w:ind w:firstLine="420"/>
        <w:rPr>
          <w:rFonts w:hint="default" w:eastAsia="宋体"/>
          <w:lang w:val="en-US" w:eastAsia="zh-CN"/>
        </w:rPr>
      </w:pPr>
      <w:r>
        <w:rPr>
          <w:rFonts w:hint="eastAsia"/>
          <w:lang w:val="en-US" w:eastAsia="zh-CN"/>
        </w:rPr>
        <w:t>前期准备包括：确定评估组织方式、制定评估工作方案、评估指标选取、构建评估指标体系。</w:t>
      </w:r>
    </w:p>
    <w:p w14:paraId="76BE690F">
      <w:pPr>
        <w:pStyle w:val="15"/>
        <w:keepNext w:val="0"/>
        <w:keepLines w:val="0"/>
        <w:widowControl/>
        <w:suppressLineNumbers w:val="0"/>
        <w:ind w:left="0" w:leftChars="0" w:firstLine="0" w:firstLineChars="0"/>
        <w:jc w:val="center"/>
        <w:rPr>
          <w:rFonts w:hint="eastAsia" w:eastAsia="宋体"/>
          <w:lang w:eastAsia="zh-CN"/>
        </w:rPr>
      </w:pPr>
      <w:r>
        <w:rPr>
          <w:rFonts w:hint="eastAsia" w:eastAsia="宋体"/>
          <w:lang w:eastAsia="zh-CN"/>
        </w:rPr>
        <w:drawing>
          <wp:inline distT="0" distB="0" distL="114300" distR="114300">
            <wp:extent cx="5349875" cy="4279265"/>
            <wp:effectExtent l="0" t="0" r="14605" b="3175"/>
            <wp:docPr id="1" name="图片 1" descr="工作流程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工作流程_05"/>
                    <pic:cNvPicPr>
                      <a:picLocks noChangeAspect="1"/>
                    </pic:cNvPicPr>
                  </pic:nvPicPr>
                  <pic:blipFill>
                    <a:blip r:embed="rId18"/>
                    <a:srcRect l="8656" r="25456" b="6340"/>
                    <a:stretch>
                      <a:fillRect/>
                    </a:stretch>
                  </pic:blipFill>
                  <pic:spPr>
                    <a:xfrm>
                      <a:off x="0" y="0"/>
                      <a:ext cx="5349875" cy="4279265"/>
                    </a:xfrm>
                    <a:prstGeom prst="rect">
                      <a:avLst/>
                    </a:prstGeom>
                  </pic:spPr>
                </pic:pic>
              </a:graphicData>
            </a:graphic>
          </wp:inline>
        </w:drawing>
      </w:r>
    </w:p>
    <w:p w14:paraId="3CDA2393">
      <w:pPr>
        <w:pStyle w:val="62"/>
        <w:spacing w:before="120" w:after="120" w:afterLines="50"/>
        <w:jc w:val="center"/>
        <w:rPr>
          <w:rFonts w:hint="eastAsia" w:ascii="黑体" w:hAnsi="黑体" w:eastAsia="黑体" w:cs="黑体"/>
        </w:rPr>
      </w:pPr>
      <w:r>
        <w:rPr>
          <w:rFonts w:hint="eastAsia" w:ascii="黑体" w:hAnsi="黑体" w:eastAsia="黑体" w:cs="黑体"/>
        </w:rPr>
        <w:t>国土空间生态修复规划实施后期评估工作流程图</w:t>
      </w:r>
    </w:p>
    <w:p w14:paraId="5EB7E7B4">
      <w:pPr>
        <w:pStyle w:val="62"/>
        <w:numPr>
          <w:ilvl w:val="-1"/>
          <w:numId w:val="0"/>
        </w:numPr>
        <w:spacing w:before="120" w:after="120" w:afterLines="50"/>
        <w:jc w:val="both"/>
        <w:rPr>
          <w:rFonts w:hint="eastAsia" w:ascii="黑体" w:hAnsi="黑体" w:eastAsia="黑体" w:cs="黑体"/>
        </w:rPr>
      </w:pPr>
    </w:p>
    <w:p w14:paraId="5045DDED">
      <w:pPr>
        <w:pStyle w:val="56"/>
        <w:numPr>
          <w:ilvl w:val="2"/>
          <w:numId w:val="7"/>
        </w:numPr>
        <w:spacing w:before="120" w:after="120" w:afterLines="50"/>
        <w:jc w:val="left"/>
        <w:outlineLvl w:val="3"/>
        <w:rPr>
          <w:rFonts w:hint="eastAsia"/>
          <w:lang w:bidi="ar"/>
        </w:rPr>
      </w:pPr>
      <w:bookmarkStart w:id="204" w:name="OLE_LINK47"/>
      <w:r>
        <w:rPr>
          <w:rFonts w:hint="eastAsia"/>
          <w:lang w:bidi="ar"/>
        </w:rPr>
        <w:t>确定评估组织方式</w:t>
      </w:r>
      <w:bookmarkEnd w:id="204"/>
    </w:p>
    <w:p w14:paraId="31FD73D7">
      <w:pPr>
        <w:spacing w:before="0" w:beforeLines="0"/>
        <w:ind w:firstLine="420"/>
        <w:rPr>
          <w:rFonts w:hint="eastAsia"/>
        </w:rPr>
      </w:pPr>
      <w:r>
        <w:t>根据评估目标和要求，由相关主管部门牵头组织，明确总体任务、工作计划、进度安排与职责分工。具体评估工作宜委托</w:t>
      </w:r>
      <w:bookmarkStart w:id="205" w:name="OLE_LINK52"/>
      <w:r>
        <w:t>具备相关资质</w:t>
      </w:r>
      <w:bookmarkEnd w:id="205"/>
      <w:r>
        <w:t>的第三方专业机构或科研单位承担。</w:t>
      </w:r>
    </w:p>
    <w:p w14:paraId="38A2BA70">
      <w:pPr>
        <w:pStyle w:val="56"/>
        <w:numPr>
          <w:ilvl w:val="2"/>
          <w:numId w:val="7"/>
        </w:numPr>
        <w:spacing w:before="120" w:after="120" w:afterLines="50"/>
        <w:jc w:val="left"/>
        <w:outlineLvl w:val="3"/>
        <w:rPr>
          <w:rFonts w:hint="eastAsia"/>
          <w:lang w:bidi="ar"/>
        </w:rPr>
      </w:pPr>
      <w:r>
        <w:rPr>
          <w:rFonts w:hint="eastAsia"/>
          <w:lang w:bidi="ar"/>
        </w:rPr>
        <w:t>制定评估工作方案</w:t>
      </w:r>
    </w:p>
    <w:p w14:paraId="1E7CDC0A">
      <w:pPr>
        <w:spacing w:before="0" w:beforeLines="0"/>
        <w:ind w:firstLine="420"/>
        <w:rPr>
          <w:rFonts w:hint="eastAsia"/>
        </w:rPr>
      </w:pPr>
      <w:r>
        <w:rPr>
          <w:rFonts w:hint="eastAsia"/>
        </w:rPr>
        <w:t>依据规划</w:t>
      </w:r>
      <w:r>
        <w:t>目标</w:t>
      </w:r>
      <w:r>
        <w:rPr>
          <w:rFonts w:hint="eastAsia"/>
        </w:rPr>
        <w:t>与评估</w:t>
      </w:r>
      <w:r>
        <w:t>任务</w:t>
      </w:r>
      <w:r>
        <w:rPr>
          <w:rFonts w:hint="eastAsia"/>
        </w:rPr>
        <w:t>，编制评估工作方案，明确评估对象、范围、</w:t>
      </w:r>
      <w:r>
        <w:t>指标体系</w:t>
      </w:r>
      <w:r>
        <w:rPr>
          <w:rFonts w:hint="eastAsia"/>
        </w:rPr>
        <w:t>、技术路径、方法工具、数据需求、预期成果及质量控制措施。</w:t>
      </w:r>
    </w:p>
    <w:p w14:paraId="1838338A">
      <w:pPr>
        <w:pStyle w:val="56"/>
        <w:numPr>
          <w:ilvl w:val="0"/>
          <w:numId w:val="7"/>
        </w:numPr>
        <w:snapToGrid/>
        <w:spacing w:before="240" w:beforeLines="100" w:after="240" w:afterLines="100"/>
        <w:jc w:val="left"/>
        <w:outlineLvl w:val="1"/>
        <w:rPr>
          <w:rFonts w:hAnsi="Times New Roman" w:cs="Times New Roman"/>
          <w:lang w:bidi="ar"/>
        </w:rPr>
      </w:pPr>
      <w:bookmarkStart w:id="206" w:name="_Toc22420"/>
      <w:bookmarkStart w:id="207" w:name="_Toc16160"/>
      <w:bookmarkStart w:id="208" w:name="_Toc14445"/>
      <w:bookmarkStart w:id="209" w:name="_Toc17643"/>
      <w:bookmarkStart w:id="210" w:name="_Toc9841"/>
      <w:bookmarkStart w:id="211" w:name="_Toc6738"/>
      <w:bookmarkStart w:id="212" w:name="_Toc21546"/>
      <w:bookmarkStart w:id="213" w:name="_Toc13511"/>
      <w:r>
        <w:rPr>
          <w:rFonts w:hint="eastAsia" w:hAnsi="Times New Roman" w:cs="Times New Roman"/>
          <w:lang w:bidi="ar"/>
        </w:rPr>
        <w:t>评估内容和指标</w:t>
      </w:r>
      <w:bookmarkEnd w:id="206"/>
      <w:bookmarkEnd w:id="207"/>
      <w:bookmarkEnd w:id="208"/>
      <w:bookmarkEnd w:id="209"/>
      <w:bookmarkEnd w:id="210"/>
      <w:bookmarkEnd w:id="211"/>
      <w:bookmarkEnd w:id="212"/>
      <w:bookmarkEnd w:id="213"/>
    </w:p>
    <w:p w14:paraId="31D786D6">
      <w:pPr>
        <w:pStyle w:val="57"/>
        <w:numPr>
          <w:ilvl w:val="1"/>
          <w:numId w:val="7"/>
        </w:numPr>
        <w:spacing w:before="120" w:after="120" w:afterLines="50"/>
        <w:jc w:val="left"/>
        <w:outlineLvl w:val="2"/>
        <w:rPr>
          <w:rFonts w:hint="eastAsia" w:ascii="黑体" w:hAnsi="黑体" w:eastAsia="黑体" w:cs="黑体"/>
          <w:lang w:bidi="ar"/>
        </w:rPr>
      </w:pPr>
      <w:bookmarkStart w:id="214" w:name="_Toc7772"/>
      <w:bookmarkStart w:id="215" w:name="_Toc27498"/>
      <w:bookmarkStart w:id="216" w:name="_Toc10094"/>
      <w:bookmarkStart w:id="217" w:name="_Toc10695"/>
      <w:bookmarkStart w:id="218" w:name="_Toc10222"/>
      <w:bookmarkStart w:id="219" w:name="_Toc8931"/>
      <w:bookmarkStart w:id="220" w:name="_Toc20292"/>
      <w:bookmarkStart w:id="221" w:name="_Toc5979"/>
      <w:r>
        <w:rPr>
          <w:rFonts w:hint="eastAsia" w:ascii="黑体" w:hAnsi="黑体" w:eastAsia="黑体" w:cs="黑体"/>
          <w:lang w:bidi="ar"/>
        </w:rPr>
        <w:t>评估范围和内容</w:t>
      </w:r>
      <w:bookmarkEnd w:id="214"/>
      <w:bookmarkEnd w:id="215"/>
      <w:bookmarkEnd w:id="216"/>
      <w:bookmarkEnd w:id="217"/>
      <w:bookmarkEnd w:id="218"/>
      <w:bookmarkEnd w:id="219"/>
      <w:bookmarkEnd w:id="220"/>
      <w:bookmarkEnd w:id="221"/>
    </w:p>
    <w:p w14:paraId="73A55E28">
      <w:pPr>
        <w:spacing w:before="0" w:beforeLines="0"/>
        <w:ind w:firstLine="420"/>
        <w:rPr>
          <w:rFonts w:hint="eastAsia"/>
        </w:rPr>
      </w:pPr>
      <w:r>
        <w:rPr>
          <w:rFonts w:hint="eastAsia"/>
        </w:rPr>
        <w:t>评估范围原则上</w:t>
      </w:r>
      <w:r>
        <w:rPr>
          <w:rFonts w:hint="eastAsia"/>
          <w:lang w:val="en-US" w:eastAsia="zh-CN"/>
        </w:rPr>
        <w:t>应</w:t>
      </w:r>
      <w:r>
        <w:rPr>
          <w:rFonts w:hint="eastAsia"/>
        </w:rPr>
        <w:t>与规划编制所覆盖的行政范围一致，注意重大工程评估范围与工程实施范围保持一致。</w:t>
      </w:r>
    </w:p>
    <w:p w14:paraId="258BC430">
      <w:pPr>
        <w:spacing w:before="0" w:beforeLines="0"/>
        <w:ind w:firstLine="420"/>
        <w:rPr>
          <w:rFonts w:hint="eastAsia"/>
        </w:rPr>
      </w:pPr>
      <w:r>
        <w:rPr>
          <w:rFonts w:hint="eastAsia"/>
        </w:rPr>
        <w:t>评估内容主要</w:t>
      </w:r>
      <w:r>
        <w:t>包括</w:t>
      </w:r>
      <w:r>
        <w:rPr>
          <w:rFonts w:hint="eastAsia"/>
        </w:rPr>
        <w:t>确定评估范围、构建评估指标体系、开展</w:t>
      </w:r>
      <w:r>
        <w:t>指标计算</w:t>
      </w:r>
      <w:bookmarkStart w:id="222" w:name="OLE_LINK57"/>
      <w:r>
        <w:rPr>
          <w:rFonts w:hint="eastAsia"/>
        </w:rPr>
        <w:t>与结果分类分级、进行综合成效分析及效果对比分析。重大工程的评估内容建议按照TD/T 1102执行。</w:t>
      </w:r>
    </w:p>
    <w:bookmarkEnd w:id="222"/>
    <w:p w14:paraId="04F9C6FB">
      <w:pPr>
        <w:pStyle w:val="57"/>
        <w:numPr>
          <w:ilvl w:val="1"/>
          <w:numId w:val="7"/>
        </w:numPr>
        <w:spacing w:before="120" w:after="120" w:afterLines="50"/>
        <w:jc w:val="left"/>
        <w:outlineLvl w:val="2"/>
        <w:rPr>
          <w:rFonts w:hint="eastAsia" w:ascii="黑体" w:hAnsi="黑体" w:eastAsia="黑体" w:cs="黑体"/>
          <w:lang w:bidi="ar"/>
        </w:rPr>
      </w:pPr>
      <w:bookmarkStart w:id="223" w:name="_Toc17453"/>
      <w:bookmarkStart w:id="224" w:name="_Toc12649"/>
      <w:bookmarkStart w:id="225" w:name="_Toc8410"/>
      <w:bookmarkStart w:id="226" w:name="_Toc2659"/>
      <w:bookmarkStart w:id="227" w:name="_Toc13465"/>
      <w:bookmarkStart w:id="228" w:name="_Toc29926"/>
      <w:bookmarkStart w:id="229" w:name="_Toc8319"/>
      <w:bookmarkStart w:id="230" w:name="_Toc15872"/>
      <w:r>
        <w:rPr>
          <w:rFonts w:hint="eastAsia" w:ascii="黑体" w:hAnsi="黑体" w:eastAsia="黑体" w:cs="黑体"/>
          <w:lang w:bidi="ar"/>
        </w:rPr>
        <w:t>评估指标类型</w:t>
      </w:r>
      <w:bookmarkEnd w:id="223"/>
      <w:bookmarkEnd w:id="224"/>
      <w:bookmarkEnd w:id="225"/>
      <w:bookmarkEnd w:id="226"/>
      <w:bookmarkEnd w:id="227"/>
      <w:bookmarkEnd w:id="228"/>
      <w:bookmarkEnd w:id="229"/>
      <w:bookmarkEnd w:id="230"/>
    </w:p>
    <w:p w14:paraId="1D704D8B">
      <w:pPr>
        <w:numPr>
          <w:ilvl w:val="255"/>
          <w:numId w:val="0"/>
        </w:numPr>
        <w:snapToGrid/>
        <w:spacing w:before="0" w:beforeLines="0"/>
        <w:ind w:firstLine="420"/>
        <w:rPr>
          <w:rFonts w:hint="eastAsia"/>
        </w:rPr>
      </w:pPr>
      <w:r>
        <w:rPr>
          <w:rFonts w:hint="eastAsia"/>
        </w:rPr>
        <w:t>评估</w:t>
      </w:r>
      <w:r>
        <w:t>指标分为约束性指标</w:t>
      </w:r>
      <w:r>
        <w:rPr>
          <w:rFonts w:hint="eastAsia"/>
        </w:rPr>
        <w:t>和</w:t>
      </w:r>
      <w:r>
        <w:t>预期性指标两类。</w:t>
      </w:r>
      <w:r>
        <w:rPr>
          <w:rFonts w:hint="eastAsia"/>
          <w:lang w:bidi="ar"/>
        </w:rPr>
        <w:t>约束性指标属于规划期内必须实现的底线目标，具有强制性；预期性指标为规划期内引导实现的争取目标，具有指导性。</w:t>
      </w:r>
    </w:p>
    <w:p w14:paraId="24168A83">
      <w:pPr>
        <w:pStyle w:val="57"/>
        <w:numPr>
          <w:ilvl w:val="1"/>
          <w:numId w:val="7"/>
        </w:numPr>
        <w:spacing w:before="120" w:after="120" w:afterLines="50"/>
        <w:jc w:val="left"/>
        <w:outlineLvl w:val="2"/>
        <w:rPr>
          <w:rFonts w:hint="eastAsia" w:ascii="黑体" w:hAnsi="黑体" w:eastAsia="黑体" w:cs="黑体"/>
          <w:lang w:bidi="ar"/>
        </w:rPr>
      </w:pPr>
      <w:bookmarkStart w:id="231" w:name="_Toc18786"/>
      <w:bookmarkStart w:id="232" w:name="_Toc10322"/>
      <w:bookmarkStart w:id="233" w:name="_Toc27223"/>
      <w:bookmarkStart w:id="234" w:name="_Toc17053"/>
      <w:bookmarkStart w:id="235" w:name="_Toc939"/>
      <w:bookmarkStart w:id="236" w:name="_Toc31012"/>
      <w:bookmarkStart w:id="237" w:name="_Toc13729"/>
      <w:bookmarkStart w:id="238" w:name="_Toc32650"/>
      <w:r>
        <w:rPr>
          <w:rFonts w:hint="eastAsia" w:ascii="黑体" w:hAnsi="黑体" w:eastAsia="黑体" w:cs="黑体"/>
          <w:lang w:bidi="ar"/>
        </w:rPr>
        <w:t>评估指标选取</w:t>
      </w:r>
      <w:bookmarkEnd w:id="231"/>
      <w:bookmarkEnd w:id="232"/>
      <w:bookmarkEnd w:id="233"/>
      <w:bookmarkEnd w:id="234"/>
      <w:bookmarkEnd w:id="235"/>
      <w:bookmarkEnd w:id="236"/>
      <w:bookmarkEnd w:id="237"/>
      <w:bookmarkEnd w:id="238"/>
    </w:p>
    <w:p w14:paraId="7D18A186">
      <w:pPr>
        <w:spacing w:before="0" w:beforeLines="0"/>
        <w:ind w:firstLine="420"/>
        <w:rPr>
          <w:rFonts w:hint="eastAsia"/>
        </w:rPr>
      </w:pPr>
      <w:r>
        <w:rPr>
          <w:rFonts w:hint="eastAsia"/>
        </w:rPr>
        <w:t>评估指标体系的构建应遵循分级分类原则，根据省、市（地、州）、县（市、区）三级规划目标的差异性，聚焦区域主要生态问题，统筹考虑生态系统稳定性、生态功能状态与生态产品供给能力等因素，参考附录A科学选取指标。各地可根据实际情况适度调整或增设特色指标，保持指标体系的区域适应性与灵活性。</w:t>
      </w:r>
    </w:p>
    <w:p w14:paraId="335BA158">
      <w:pPr>
        <w:pStyle w:val="57"/>
        <w:numPr>
          <w:ilvl w:val="1"/>
          <w:numId w:val="7"/>
        </w:numPr>
        <w:spacing w:before="120" w:after="120" w:afterLines="50"/>
        <w:jc w:val="left"/>
        <w:outlineLvl w:val="2"/>
        <w:rPr>
          <w:rFonts w:hint="eastAsia" w:ascii="黑体" w:hAnsi="黑体" w:eastAsia="黑体" w:cs="黑体"/>
          <w:lang w:bidi="ar"/>
        </w:rPr>
      </w:pPr>
      <w:bookmarkStart w:id="239" w:name="_Toc1868"/>
      <w:bookmarkStart w:id="240" w:name="_Toc990"/>
      <w:bookmarkStart w:id="241" w:name="_Toc22566"/>
      <w:bookmarkStart w:id="242" w:name="_Toc23216"/>
      <w:bookmarkStart w:id="243" w:name="_Toc9241"/>
      <w:bookmarkStart w:id="244" w:name="_Toc28869"/>
      <w:bookmarkStart w:id="245" w:name="_Toc3406"/>
      <w:bookmarkStart w:id="246" w:name="_Toc7979"/>
      <w:r>
        <w:rPr>
          <w:rFonts w:hint="eastAsia" w:ascii="黑体" w:hAnsi="黑体" w:eastAsia="黑体" w:cs="黑体"/>
          <w:lang w:bidi="ar"/>
        </w:rPr>
        <w:t>评估指标体系构建</w:t>
      </w:r>
      <w:bookmarkEnd w:id="239"/>
      <w:bookmarkEnd w:id="240"/>
      <w:bookmarkEnd w:id="241"/>
      <w:bookmarkEnd w:id="242"/>
      <w:bookmarkEnd w:id="243"/>
      <w:bookmarkEnd w:id="244"/>
      <w:bookmarkEnd w:id="245"/>
      <w:bookmarkEnd w:id="246"/>
    </w:p>
    <w:p w14:paraId="3774853B">
      <w:pPr>
        <w:spacing w:before="0" w:beforeLines="0"/>
        <w:ind w:firstLine="420"/>
        <w:rPr>
          <w:rFonts w:hint="eastAsia"/>
        </w:rPr>
      </w:pPr>
      <w:r>
        <w:rPr>
          <w:rFonts w:hint="eastAsia"/>
        </w:rPr>
        <w:t>评估指标体系包括规划目标类指标、生态效果类指标和经济社会效果类指标三个一级指标，下设七个二级指标及若干三级指标，具体结构及指标参见附录A。</w:t>
      </w:r>
      <w:bookmarkStart w:id="247" w:name="OLE_LINK1"/>
      <w:bookmarkStart w:id="248" w:name="OLE_LINK24"/>
    </w:p>
    <w:p w14:paraId="0CB3ED37">
      <w:pPr>
        <w:pStyle w:val="56"/>
        <w:numPr>
          <w:ilvl w:val="2"/>
          <w:numId w:val="7"/>
        </w:numPr>
        <w:spacing w:before="120" w:after="120" w:afterLines="50"/>
        <w:jc w:val="left"/>
        <w:outlineLvl w:val="3"/>
        <w:rPr>
          <w:rFonts w:hint="eastAsia"/>
          <w:lang w:bidi="ar"/>
        </w:rPr>
      </w:pPr>
      <w:r>
        <w:rPr>
          <w:rFonts w:hint="eastAsia"/>
          <w:lang w:bidi="ar"/>
        </w:rPr>
        <w:t>规划目标类指标</w:t>
      </w:r>
    </w:p>
    <w:p w14:paraId="28087C7F">
      <w:pPr>
        <w:spacing w:before="0" w:beforeLines="0"/>
        <w:ind w:firstLine="420"/>
        <w:rPr>
          <w:rFonts w:hint="eastAsia"/>
        </w:rPr>
      </w:pPr>
      <w:r>
        <w:rPr>
          <w:rFonts w:hint="eastAsia"/>
          <w:lang w:bidi="ar"/>
        </w:rPr>
        <w:t>涵盖生态质量、生态保护、生态修复三类二级指标。三级指标采用约束性指标与预期性指标相结合的方式设置，旨在保障生态质量稳定提升、维护自然生态空间安全格局、落实生态修复实施成效。</w:t>
      </w:r>
    </w:p>
    <w:p w14:paraId="0AFA5202">
      <w:pPr>
        <w:pStyle w:val="56"/>
        <w:numPr>
          <w:ilvl w:val="2"/>
          <w:numId w:val="7"/>
        </w:numPr>
        <w:spacing w:before="120" w:after="120" w:afterLines="50"/>
        <w:jc w:val="left"/>
        <w:outlineLvl w:val="3"/>
        <w:rPr>
          <w:rFonts w:hint="eastAsia"/>
          <w:lang w:bidi="ar"/>
        </w:rPr>
      </w:pPr>
      <w:r>
        <w:rPr>
          <w:rFonts w:hint="eastAsia"/>
          <w:lang w:bidi="ar"/>
        </w:rPr>
        <w:t>生态效果类指标</w:t>
      </w:r>
    </w:p>
    <w:p w14:paraId="318367E0">
      <w:pPr>
        <w:spacing w:before="0" w:beforeLines="0"/>
        <w:ind w:firstLine="420"/>
        <w:rPr>
          <w:rFonts w:hint="eastAsia"/>
          <w:lang w:bidi="ar"/>
        </w:rPr>
      </w:pPr>
      <w:r>
        <w:rPr>
          <w:rFonts w:hint="eastAsia"/>
          <w:lang w:bidi="ar"/>
        </w:rPr>
        <w:t>包括</w:t>
      </w:r>
      <w:bookmarkStart w:id="249" w:name="OLE_LINK62"/>
      <w:bookmarkStart w:id="250" w:name="OLE_LINK66"/>
      <w:r>
        <w:rPr>
          <w:rFonts w:hint="eastAsia"/>
          <w:lang w:bidi="ar"/>
        </w:rPr>
        <w:t>生态系统服务提升</w:t>
      </w:r>
      <w:bookmarkEnd w:id="249"/>
      <w:r>
        <w:rPr>
          <w:rFonts w:hint="eastAsia"/>
          <w:lang w:bidi="ar"/>
        </w:rPr>
        <w:t>和景观格局两个二级指标</w:t>
      </w:r>
      <w:bookmarkEnd w:id="250"/>
      <w:r>
        <w:rPr>
          <w:rFonts w:hint="eastAsia"/>
          <w:lang w:bidi="ar"/>
        </w:rPr>
        <w:t>。三级指标均以预期性指标为主，分别评估多项生态功能提升效果和量化测度景观改善效果。</w:t>
      </w:r>
    </w:p>
    <w:p w14:paraId="24A30516">
      <w:pPr>
        <w:pStyle w:val="56"/>
        <w:numPr>
          <w:ilvl w:val="2"/>
          <w:numId w:val="7"/>
        </w:numPr>
        <w:spacing w:before="120" w:after="120" w:afterLines="50"/>
        <w:jc w:val="left"/>
        <w:outlineLvl w:val="3"/>
        <w:rPr>
          <w:rFonts w:hint="eastAsia"/>
          <w:lang w:bidi="ar"/>
        </w:rPr>
      </w:pPr>
      <w:r>
        <w:rPr>
          <w:rFonts w:hint="eastAsia"/>
          <w:lang w:bidi="ar"/>
        </w:rPr>
        <w:t>经济社会效果类指标</w:t>
      </w:r>
    </w:p>
    <w:p w14:paraId="557F90DC">
      <w:pPr>
        <w:spacing w:before="0" w:beforeLines="0"/>
        <w:ind w:firstLine="420"/>
        <w:rPr>
          <w:rFonts w:hint="eastAsia"/>
          <w:lang w:bidi="ar"/>
        </w:rPr>
      </w:pPr>
      <w:r>
        <w:rPr>
          <w:rFonts w:hint="eastAsia"/>
          <w:lang w:bidi="ar"/>
        </w:rPr>
        <w:t>包括</w:t>
      </w:r>
      <w:bookmarkStart w:id="251" w:name="OLE_LINK68"/>
      <w:r>
        <w:rPr>
          <w:rFonts w:hint="eastAsia"/>
          <w:lang w:bidi="ar"/>
        </w:rPr>
        <w:t>社会</w:t>
      </w:r>
      <w:r>
        <w:rPr>
          <w:rFonts w:hint="eastAsia"/>
          <w:lang w:val="en-US" w:eastAsia="zh-CN" w:bidi="ar"/>
        </w:rPr>
        <w:t>效果</w:t>
      </w:r>
      <w:r>
        <w:rPr>
          <w:rFonts w:hint="eastAsia"/>
          <w:lang w:bidi="ar"/>
        </w:rPr>
        <w:t>和经济</w:t>
      </w:r>
      <w:r>
        <w:rPr>
          <w:rFonts w:hint="eastAsia"/>
          <w:lang w:val="en-US" w:eastAsia="zh-CN" w:bidi="ar"/>
        </w:rPr>
        <w:t>效果</w:t>
      </w:r>
      <w:r>
        <w:rPr>
          <w:rFonts w:hint="eastAsia"/>
          <w:lang w:bidi="ar"/>
        </w:rPr>
        <w:t>两个二级指标</w:t>
      </w:r>
      <w:bookmarkEnd w:id="251"/>
      <w:r>
        <w:rPr>
          <w:rFonts w:hint="eastAsia"/>
          <w:lang w:bidi="ar"/>
        </w:rPr>
        <w:t>。三级指标均以预期性指标为主，用于评估规划实施对社会发展与经济增长带来的协同提升成效。</w:t>
      </w:r>
    </w:p>
    <w:bookmarkEnd w:id="247"/>
    <w:p w14:paraId="6F07B459">
      <w:pPr>
        <w:pStyle w:val="56"/>
        <w:numPr>
          <w:ilvl w:val="0"/>
          <w:numId w:val="7"/>
        </w:numPr>
        <w:snapToGrid/>
        <w:spacing w:before="240" w:beforeLines="100" w:after="240" w:afterLines="100"/>
        <w:jc w:val="left"/>
        <w:outlineLvl w:val="1"/>
        <w:rPr>
          <w:rFonts w:hAnsi="Times New Roman" w:cs="Times New Roman"/>
          <w:lang w:bidi="ar"/>
        </w:rPr>
      </w:pPr>
      <w:bookmarkStart w:id="252" w:name="_Toc6108"/>
      <w:bookmarkStart w:id="253" w:name="_Toc17569"/>
      <w:bookmarkStart w:id="254" w:name="_Toc5695"/>
      <w:bookmarkStart w:id="255" w:name="_Toc25414"/>
      <w:bookmarkStart w:id="256" w:name="_Toc16748"/>
      <w:bookmarkStart w:id="257" w:name="_Toc26778"/>
      <w:bookmarkStart w:id="258" w:name="_Toc630"/>
      <w:bookmarkStart w:id="259" w:name="_Toc9848"/>
      <w:bookmarkStart w:id="260" w:name="OLE_LINK63"/>
      <w:r>
        <w:rPr>
          <w:rFonts w:hint="eastAsia" w:hAnsi="Times New Roman" w:cs="Times New Roman"/>
          <w:lang w:bidi="ar"/>
        </w:rPr>
        <w:t>数据采集与核查</w:t>
      </w:r>
      <w:bookmarkEnd w:id="248"/>
      <w:bookmarkEnd w:id="252"/>
      <w:bookmarkEnd w:id="253"/>
      <w:bookmarkEnd w:id="254"/>
      <w:bookmarkEnd w:id="255"/>
      <w:bookmarkEnd w:id="256"/>
      <w:bookmarkEnd w:id="257"/>
      <w:bookmarkEnd w:id="258"/>
      <w:bookmarkEnd w:id="259"/>
      <w:bookmarkStart w:id="261" w:name="_Toc25905"/>
      <w:bookmarkStart w:id="262" w:name="_Toc22411"/>
      <w:bookmarkStart w:id="263" w:name="_Toc27101"/>
      <w:bookmarkStart w:id="264" w:name="_Toc18937"/>
      <w:bookmarkStart w:id="265" w:name="_Toc30180"/>
      <w:bookmarkStart w:id="266" w:name="_Toc25564"/>
      <w:bookmarkStart w:id="267" w:name="_Toc2355"/>
    </w:p>
    <w:p w14:paraId="23BB6F0B">
      <w:pPr>
        <w:pStyle w:val="57"/>
        <w:numPr>
          <w:ilvl w:val="1"/>
          <w:numId w:val="7"/>
        </w:numPr>
        <w:spacing w:before="120" w:after="120" w:afterLines="50"/>
        <w:jc w:val="left"/>
        <w:outlineLvl w:val="2"/>
        <w:rPr>
          <w:rFonts w:hint="eastAsia" w:ascii="黑体" w:hAnsi="黑体" w:eastAsia="黑体" w:cs="黑体"/>
          <w:lang w:bidi="ar"/>
        </w:rPr>
      </w:pPr>
      <w:bookmarkStart w:id="268" w:name="_Toc10557"/>
      <w:bookmarkStart w:id="269" w:name="_Toc2532"/>
      <w:bookmarkStart w:id="270" w:name="_Toc20274"/>
      <w:bookmarkStart w:id="271" w:name="_Toc3514"/>
      <w:bookmarkStart w:id="272" w:name="_Toc2527"/>
      <w:bookmarkStart w:id="273" w:name="_Toc6767"/>
      <w:bookmarkStart w:id="274" w:name="_Toc6528"/>
      <w:bookmarkStart w:id="275" w:name="_Toc17498"/>
      <w:r>
        <w:rPr>
          <w:rFonts w:hint="eastAsia" w:ascii="黑体" w:hAnsi="黑体" w:eastAsia="黑体" w:cs="黑体"/>
          <w:lang w:bidi="ar"/>
        </w:rPr>
        <w:t>数据源</w:t>
      </w:r>
      <w:bookmarkEnd w:id="268"/>
      <w:bookmarkEnd w:id="269"/>
      <w:bookmarkEnd w:id="270"/>
      <w:bookmarkEnd w:id="271"/>
      <w:bookmarkEnd w:id="272"/>
      <w:bookmarkEnd w:id="273"/>
      <w:bookmarkEnd w:id="274"/>
      <w:bookmarkEnd w:id="275"/>
    </w:p>
    <w:p w14:paraId="35C35663">
      <w:pPr>
        <w:spacing w:before="0" w:beforeLines="0"/>
        <w:ind w:firstLine="420"/>
        <w:rPr>
          <w:rFonts w:hint="eastAsia"/>
        </w:rPr>
      </w:pPr>
      <w:r>
        <w:rPr>
          <w:rFonts w:hint="eastAsia"/>
        </w:rPr>
        <w:t>评估所需数据应涵盖</w:t>
      </w:r>
      <w:r>
        <w:t>自然资源、生态系统、经济社会统计</w:t>
      </w:r>
      <w:r>
        <w:rPr>
          <w:rFonts w:hint="eastAsia"/>
        </w:rPr>
        <w:t>、</w:t>
      </w:r>
      <w:r>
        <w:t>相关规划</w:t>
      </w:r>
      <w:r>
        <w:rPr>
          <w:rFonts w:hint="eastAsia"/>
        </w:rPr>
        <w:t>及生态修复</w:t>
      </w:r>
      <w:r>
        <w:t>工程成果</w:t>
      </w:r>
      <w:r>
        <w:rPr>
          <w:rFonts w:hint="eastAsia"/>
        </w:rPr>
        <w:t>等方面</w:t>
      </w:r>
      <w:r>
        <w:t>，确保数据</w:t>
      </w:r>
      <w:r>
        <w:rPr>
          <w:rFonts w:hint="eastAsia"/>
        </w:rPr>
        <w:t>在</w:t>
      </w:r>
      <w:r>
        <w:t>来源</w:t>
      </w:r>
      <w:r>
        <w:rPr>
          <w:rFonts w:hint="eastAsia"/>
        </w:rPr>
        <w:t>口径</w:t>
      </w:r>
      <w:r>
        <w:t>、时间</w:t>
      </w:r>
      <w:r>
        <w:rPr>
          <w:rFonts w:hint="eastAsia"/>
        </w:rPr>
        <w:t>基准与</w:t>
      </w:r>
      <w:r>
        <w:t>空间</w:t>
      </w:r>
      <w:r>
        <w:rPr>
          <w:rFonts w:hint="eastAsia"/>
        </w:rPr>
        <w:t>范围上保持一致性与匹配性</w:t>
      </w:r>
      <w:r>
        <w:t>。</w:t>
      </w:r>
      <w:r>
        <w:rPr>
          <w:rFonts w:hint="eastAsia"/>
        </w:rPr>
        <w:t>具体包括以下类别：</w:t>
      </w:r>
    </w:p>
    <w:p w14:paraId="161BA516">
      <w:pPr>
        <w:spacing w:before="0" w:beforeLines="0"/>
        <w:ind w:firstLine="420"/>
        <w:rPr>
          <w:rFonts w:hint="eastAsia"/>
        </w:rPr>
      </w:pPr>
      <w:r>
        <w:t>自然地理数据：包括国土调查与年度变更调查数据，森林、草原、湿地、荒漠、海洋、水资源等</w:t>
      </w:r>
      <w:r>
        <w:rPr>
          <w:rFonts w:hint="eastAsia"/>
        </w:rPr>
        <w:t>自然资源</w:t>
      </w:r>
      <w:r>
        <w:t>专题数据，</w:t>
      </w:r>
      <w:r>
        <w:rPr>
          <w:rFonts w:hint="eastAsia"/>
        </w:rPr>
        <w:t>以及</w:t>
      </w:r>
      <w:r>
        <w:t>自然资源分等定级</w:t>
      </w:r>
      <w:r>
        <w:rPr>
          <w:rFonts w:hint="eastAsia"/>
        </w:rPr>
        <w:t>成果</w:t>
      </w:r>
      <w:r>
        <w:t>和基础地理信息</w:t>
      </w:r>
      <w:r>
        <w:rPr>
          <w:rFonts w:hint="eastAsia"/>
        </w:rPr>
        <w:t>数据</w:t>
      </w:r>
      <w:r>
        <w:t>等。</w:t>
      </w:r>
    </w:p>
    <w:p w14:paraId="6240FA85">
      <w:pPr>
        <w:spacing w:before="0" w:beforeLines="0"/>
        <w:ind w:firstLine="420"/>
        <w:rPr>
          <w:rFonts w:hint="eastAsia"/>
        </w:rPr>
      </w:pPr>
      <w:r>
        <w:rPr>
          <w:rFonts w:hint="eastAsia"/>
        </w:rPr>
        <w:t>生态相关数据：涵盖林草资源、土地质量、环境污染现状、生态保护红线、自然保护地体系、生态环境监测数据等，来源包括部门资料、遥感影像、现场调查和问卷调研等。</w:t>
      </w:r>
    </w:p>
    <w:p w14:paraId="0CDB26C0">
      <w:pPr>
        <w:spacing w:before="0" w:beforeLines="0"/>
        <w:ind w:firstLine="420"/>
        <w:rPr>
          <w:rFonts w:hint="eastAsia"/>
        </w:rPr>
      </w:pPr>
      <w:r>
        <w:rPr>
          <w:rFonts w:hint="eastAsia"/>
        </w:rPr>
        <w:t>经济社会数据：涵盖人口分布、经济发展水平、土地利用变化、自然资源资产价格等公开统计数据。</w:t>
      </w:r>
    </w:p>
    <w:p w14:paraId="7BB2E575">
      <w:pPr>
        <w:spacing w:before="0" w:beforeLines="0"/>
        <w:ind w:firstLine="420"/>
        <w:rPr>
          <w:rFonts w:hint="eastAsia"/>
        </w:rPr>
      </w:pPr>
      <w:r>
        <w:rPr>
          <w:rFonts w:hint="eastAsia"/>
        </w:rPr>
        <w:t>生态修复工程资料：包括工程实施范围、设计实施方案、竣工验收报告、过程监测记录、生态成效评估报告等。</w:t>
      </w:r>
    </w:p>
    <w:p w14:paraId="7ECE7639">
      <w:pPr>
        <w:spacing w:before="0" w:beforeLines="0"/>
        <w:ind w:firstLine="420"/>
        <w:rPr>
          <w:rFonts w:hint="eastAsia"/>
        </w:rPr>
      </w:pPr>
      <w:r>
        <w:rPr>
          <w:rFonts w:hint="eastAsia"/>
        </w:rPr>
        <w:t>相关规划成果数据：包括“多规合一”成果、重大工程项目清单及其空间布局信息</w:t>
      </w:r>
      <w:r>
        <w:rPr>
          <w:rFonts w:hint="eastAsia"/>
          <w:lang w:eastAsia="zh-CN"/>
        </w:rPr>
        <w:t>、地方自评</w:t>
      </w:r>
      <w:r>
        <w:rPr>
          <w:rFonts w:hint="eastAsia"/>
          <w:lang w:val="en-US" w:eastAsia="zh-CN"/>
        </w:rPr>
        <w:t>材料和体检</w:t>
      </w:r>
      <w:r>
        <w:rPr>
          <w:rFonts w:hint="eastAsia"/>
          <w:lang w:eastAsia="zh-CN"/>
        </w:rPr>
        <w:t>材料</w:t>
      </w:r>
      <w:r>
        <w:rPr>
          <w:rFonts w:hint="eastAsia"/>
        </w:rPr>
        <w:t>等。</w:t>
      </w:r>
    </w:p>
    <w:p w14:paraId="7852F650">
      <w:pPr>
        <w:spacing w:before="0" w:beforeLines="0"/>
        <w:ind w:firstLine="420"/>
        <w:rPr>
          <w:rFonts w:hint="eastAsia" w:eastAsia="宋体"/>
          <w:lang w:val="en-US" w:eastAsia="zh-CN"/>
        </w:rPr>
      </w:pPr>
      <w:r>
        <w:rPr>
          <w:rFonts w:hint="eastAsia"/>
          <w:lang w:val="en-US" w:eastAsia="zh-CN"/>
        </w:rPr>
        <w:t>鉴于评估尺度的差异性，数据采集须遵循层级适配原则。省级层面以宏观统筹为目标，</w:t>
      </w:r>
      <w:r>
        <w:rPr>
          <w:rFonts w:hint="eastAsia"/>
        </w:rPr>
        <w:t>以土地利用现状、遥感</w:t>
      </w:r>
      <w:r>
        <w:rPr>
          <w:rFonts w:hint="eastAsia"/>
          <w:lang w:val="en-US" w:eastAsia="zh-CN"/>
        </w:rPr>
        <w:t>影像</w:t>
      </w:r>
      <w:r>
        <w:rPr>
          <w:rFonts w:hint="eastAsia"/>
        </w:rPr>
        <w:t>与社会经济统计等</w:t>
      </w:r>
      <w:r>
        <w:rPr>
          <w:rFonts w:hint="eastAsia"/>
          <w:lang w:val="en-US" w:eastAsia="zh-CN"/>
        </w:rPr>
        <w:t>数据</w:t>
      </w:r>
      <w:r>
        <w:rPr>
          <w:rFonts w:hint="eastAsia"/>
        </w:rPr>
        <w:t>为主</w:t>
      </w:r>
      <w:r>
        <w:rPr>
          <w:rFonts w:hint="eastAsia"/>
          <w:lang w:eastAsia="zh-CN"/>
        </w:rPr>
        <w:t>，</w:t>
      </w:r>
      <w:r>
        <w:rPr>
          <w:rFonts w:hint="eastAsia"/>
          <w:lang w:val="en-US" w:eastAsia="zh-CN"/>
        </w:rPr>
        <w:t>用于支撑区域修复目标管控</w:t>
      </w:r>
      <w:r>
        <w:rPr>
          <w:rFonts w:hint="eastAsia"/>
          <w:lang w:eastAsia="zh-CN"/>
        </w:rPr>
        <w:t>；</w:t>
      </w:r>
      <w:r>
        <w:rPr>
          <w:rFonts w:hint="eastAsia"/>
          <w:lang w:val="en-US" w:eastAsia="zh-CN"/>
        </w:rPr>
        <w:t>市县级数据则聚焦工程实施，应涵盖工程台账、验收报告及监测检测等资料，用以支撑工程成效评估。</w:t>
      </w:r>
    </w:p>
    <w:p w14:paraId="254A94BB">
      <w:pPr>
        <w:pStyle w:val="57"/>
        <w:numPr>
          <w:ilvl w:val="1"/>
          <w:numId w:val="7"/>
        </w:numPr>
        <w:spacing w:before="120" w:beforeLines="0" w:after="120" w:afterLines="50"/>
        <w:jc w:val="left"/>
        <w:outlineLvl w:val="2"/>
        <w:rPr>
          <w:rFonts w:hint="eastAsia" w:ascii="黑体" w:hAnsi="黑体" w:eastAsia="黑体" w:cs="黑体"/>
          <w:lang w:bidi="ar"/>
        </w:rPr>
      </w:pPr>
      <w:bookmarkStart w:id="276" w:name="_Toc22164"/>
      <w:bookmarkStart w:id="277" w:name="_Toc4083"/>
      <w:bookmarkStart w:id="278" w:name="_Toc1043"/>
      <w:bookmarkStart w:id="279" w:name="_Toc2197"/>
      <w:bookmarkStart w:id="280" w:name="_Toc8182"/>
      <w:bookmarkStart w:id="281" w:name="_Toc7385"/>
      <w:bookmarkStart w:id="282" w:name="_Toc28592"/>
      <w:bookmarkStart w:id="283" w:name="_Toc28362"/>
      <w:r>
        <w:rPr>
          <w:rFonts w:hint="eastAsia" w:ascii="黑体" w:hAnsi="黑体" w:eastAsia="黑体" w:cs="黑体"/>
          <w:lang w:bidi="ar"/>
        </w:rPr>
        <w:t>数据获取方法</w:t>
      </w:r>
      <w:bookmarkEnd w:id="276"/>
      <w:bookmarkEnd w:id="277"/>
      <w:bookmarkEnd w:id="278"/>
      <w:bookmarkEnd w:id="279"/>
      <w:bookmarkEnd w:id="280"/>
      <w:bookmarkEnd w:id="281"/>
      <w:bookmarkEnd w:id="282"/>
      <w:bookmarkEnd w:id="283"/>
    </w:p>
    <w:p w14:paraId="62777493">
      <w:pPr>
        <w:pStyle w:val="56"/>
        <w:numPr>
          <w:ilvl w:val="2"/>
          <w:numId w:val="7"/>
        </w:numPr>
        <w:spacing w:before="120" w:beforeLines="0" w:after="120" w:afterLines="50"/>
        <w:jc w:val="left"/>
        <w:outlineLvl w:val="3"/>
        <w:rPr>
          <w:rFonts w:hint="eastAsia"/>
          <w:lang w:bidi="ar"/>
        </w:rPr>
      </w:pPr>
      <w:bookmarkStart w:id="284" w:name="_Toc12156"/>
      <w:bookmarkStart w:id="285" w:name="_Toc17959"/>
      <w:r>
        <w:rPr>
          <w:rFonts w:hint="eastAsia"/>
          <w:lang w:bidi="ar"/>
        </w:rPr>
        <w:t>资料查阅</w:t>
      </w:r>
      <w:bookmarkEnd w:id="284"/>
      <w:bookmarkEnd w:id="285"/>
    </w:p>
    <w:p w14:paraId="5604C19F">
      <w:pPr>
        <w:spacing w:before="0" w:beforeLines="0"/>
        <w:ind w:firstLine="420"/>
        <w:rPr>
          <w:rFonts w:hint="eastAsia"/>
          <w:lang w:bidi="ar"/>
        </w:rPr>
      </w:pPr>
      <w:r>
        <w:rPr>
          <w:rFonts w:hint="eastAsia"/>
          <w:lang w:bidi="ar"/>
        </w:rPr>
        <w:t>从自然资源、生态环境、水利、农业农村等</w:t>
      </w:r>
      <w:r>
        <w:rPr>
          <w:lang w:bidi="ar"/>
        </w:rPr>
        <w:t>主管</w:t>
      </w:r>
      <w:r>
        <w:rPr>
          <w:rFonts w:hint="eastAsia"/>
          <w:lang w:bidi="ar"/>
        </w:rPr>
        <w:t>部门获取，收集其发布的统计年鉴、调查报告、规划文件、实施方案、监测数据等资料。</w:t>
      </w:r>
    </w:p>
    <w:p w14:paraId="37E593E8">
      <w:pPr>
        <w:pStyle w:val="56"/>
        <w:numPr>
          <w:ilvl w:val="2"/>
          <w:numId w:val="7"/>
        </w:numPr>
        <w:spacing w:before="120" w:beforeLines="0" w:after="120" w:afterLines="50"/>
        <w:jc w:val="left"/>
        <w:outlineLvl w:val="3"/>
        <w:rPr>
          <w:rFonts w:hint="eastAsia"/>
          <w:lang w:bidi="ar"/>
        </w:rPr>
      </w:pPr>
      <w:bookmarkStart w:id="286" w:name="_Toc29257"/>
      <w:bookmarkStart w:id="287" w:name="_Toc30431"/>
      <w:r>
        <w:rPr>
          <w:rFonts w:hint="eastAsia"/>
          <w:lang w:bidi="ar"/>
        </w:rPr>
        <w:t>现场调查</w:t>
      </w:r>
      <w:bookmarkEnd w:id="286"/>
      <w:bookmarkEnd w:id="287"/>
    </w:p>
    <w:p w14:paraId="047E5F01">
      <w:pPr>
        <w:numPr>
          <w:ilvl w:val="255"/>
          <w:numId w:val="0"/>
        </w:numPr>
        <w:spacing w:before="0" w:beforeLines="0"/>
        <w:ind w:firstLine="420"/>
        <w:rPr>
          <w:rFonts w:hint="eastAsia"/>
          <w:lang w:bidi="ar"/>
        </w:rPr>
      </w:pPr>
      <w:r>
        <w:rPr>
          <w:rFonts w:hint="eastAsia"/>
          <w:lang w:bidi="ar"/>
        </w:rPr>
        <w:t>样方法：在研究区域内</w:t>
      </w:r>
      <w:r>
        <w:rPr>
          <w:lang w:bidi="ar"/>
        </w:rPr>
        <w:t>布设代表性的</w:t>
      </w:r>
      <w:r>
        <w:rPr>
          <w:rFonts w:hint="eastAsia"/>
          <w:lang w:bidi="ar"/>
        </w:rPr>
        <w:t>样方，系统调查样方内植被类型、覆盖度、生物量等生态要素</w:t>
      </w:r>
      <w:r>
        <w:rPr>
          <w:lang w:bidi="ar"/>
        </w:rPr>
        <w:t>。</w:t>
      </w:r>
    </w:p>
    <w:p w14:paraId="555278CF">
      <w:pPr>
        <w:numPr>
          <w:ilvl w:val="255"/>
          <w:numId w:val="0"/>
        </w:numPr>
        <w:spacing w:before="0" w:beforeLines="0"/>
        <w:ind w:firstLine="420"/>
        <w:rPr>
          <w:rFonts w:hint="eastAsia"/>
          <w:lang w:bidi="ar"/>
        </w:rPr>
      </w:pPr>
      <w:r>
        <w:rPr>
          <w:rFonts w:hint="eastAsia"/>
          <w:lang w:bidi="ar"/>
        </w:rPr>
        <w:t>样线法：沿</w:t>
      </w:r>
      <w:r>
        <w:rPr>
          <w:lang w:bidi="ar"/>
        </w:rPr>
        <w:t>预设</w:t>
      </w:r>
      <w:r>
        <w:rPr>
          <w:rFonts w:hint="eastAsia"/>
          <w:lang w:bidi="ar"/>
        </w:rPr>
        <w:t>样线</w:t>
      </w:r>
      <w:r>
        <w:rPr>
          <w:lang w:bidi="ar"/>
        </w:rPr>
        <w:t>记</w:t>
      </w:r>
      <w:r>
        <w:rPr>
          <w:rFonts w:hint="eastAsia"/>
          <w:lang w:bidi="ar"/>
        </w:rPr>
        <w:t>录野生动物活动痕迹、种群分布等信息，适用于动物资源调查</w:t>
      </w:r>
      <w:r>
        <w:rPr>
          <w:lang w:bidi="ar"/>
        </w:rPr>
        <w:t>。</w:t>
      </w:r>
    </w:p>
    <w:p w14:paraId="7957A420">
      <w:pPr>
        <w:numPr>
          <w:ilvl w:val="255"/>
          <w:numId w:val="0"/>
        </w:numPr>
        <w:spacing w:before="0" w:beforeLines="0"/>
        <w:ind w:firstLine="420"/>
        <w:rPr>
          <w:rFonts w:hint="eastAsia"/>
          <w:lang w:bidi="ar"/>
        </w:rPr>
      </w:pPr>
      <w:r>
        <w:rPr>
          <w:rFonts w:hint="eastAsia"/>
          <w:lang w:bidi="ar"/>
        </w:rPr>
        <w:t>问卷调查法：</w:t>
      </w:r>
      <w:r>
        <w:rPr>
          <w:lang w:bidi="ar"/>
        </w:rPr>
        <w:t>针对生态修复工程实施效果、公众满意度及社会反馈等内容</w:t>
      </w:r>
      <w:r>
        <w:rPr>
          <w:rFonts w:hint="eastAsia"/>
          <w:lang w:bidi="ar"/>
        </w:rPr>
        <w:t>设计问卷，向相关</w:t>
      </w:r>
      <w:r>
        <w:rPr>
          <w:lang w:bidi="ar"/>
        </w:rPr>
        <w:t>管理</w:t>
      </w:r>
      <w:r>
        <w:rPr>
          <w:rFonts w:hint="eastAsia"/>
          <w:lang w:bidi="ar"/>
        </w:rPr>
        <w:t>部门和</w:t>
      </w:r>
      <w:r>
        <w:rPr>
          <w:lang w:bidi="ar"/>
        </w:rPr>
        <w:t>受影响的公众</w:t>
      </w:r>
      <w:r>
        <w:rPr>
          <w:rFonts w:hint="eastAsia"/>
          <w:lang w:bidi="ar"/>
        </w:rPr>
        <w:t>发放，收集</w:t>
      </w:r>
      <w:r>
        <w:rPr>
          <w:lang w:bidi="ar"/>
        </w:rPr>
        <w:t>定性评价信息。</w:t>
      </w:r>
    </w:p>
    <w:p w14:paraId="54AB79DC">
      <w:pPr>
        <w:numPr>
          <w:ilvl w:val="255"/>
          <w:numId w:val="0"/>
        </w:numPr>
        <w:spacing w:before="0" w:beforeLines="0"/>
        <w:ind w:firstLine="420"/>
        <w:rPr>
          <w:rFonts w:hint="eastAsia"/>
          <w:lang w:bidi="ar"/>
        </w:rPr>
      </w:pPr>
      <w:r>
        <w:rPr>
          <w:rFonts w:hint="eastAsia"/>
          <w:lang w:bidi="ar"/>
        </w:rPr>
        <w:t>无人机调查法：针对人</w:t>
      </w:r>
      <w:r>
        <w:rPr>
          <w:lang w:bidi="ar"/>
        </w:rPr>
        <w:t>员</w:t>
      </w:r>
      <w:r>
        <w:rPr>
          <w:rFonts w:hint="eastAsia"/>
          <w:lang w:bidi="ar"/>
        </w:rPr>
        <w:t>难以抵达的</w:t>
      </w:r>
      <w:r>
        <w:rPr>
          <w:lang w:bidi="ar"/>
        </w:rPr>
        <w:t>区域</w:t>
      </w:r>
      <w:r>
        <w:rPr>
          <w:rFonts w:hint="eastAsia"/>
          <w:lang w:bidi="ar"/>
        </w:rPr>
        <w:t>，</w:t>
      </w:r>
      <w:r>
        <w:rPr>
          <w:lang w:bidi="ar"/>
        </w:rPr>
        <w:t>采用</w:t>
      </w:r>
      <w:r>
        <w:rPr>
          <w:rFonts w:hint="eastAsia"/>
          <w:lang w:bidi="ar"/>
        </w:rPr>
        <w:t>无人机</w:t>
      </w:r>
      <w:r>
        <w:rPr>
          <w:lang w:bidi="ar"/>
        </w:rPr>
        <w:t>航拍与影像采集</w:t>
      </w:r>
      <w:r>
        <w:rPr>
          <w:rFonts w:hint="eastAsia"/>
          <w:lang w:bidi="ar"/>
        </w:rPr>
        <w:t>，高效获取</w:t>
      </w:r>
      <w:r>
        <w:rPr>
          <w:lang w:bidi="ar"/>
        </w:rPr>
        <w:t>地表覆盖、工程现状等各类</w:t>
      </w:r>
      <w:r>
        <w:rPr>
          <w:rFonts w:hint="eastAsia"/>
          <w:lang w:bidi="ar"/>
        </w:rPr>
        <w:t>资料。</w:t>
      </w:r>
    </w:p>
    <w:p w14:paraId="2A31AAC2">
      <w:pPr>
        <w:pStyle w:val="56"/>
        <w:numPr>
          <w:ilvl w:val="2"/>
          <w:numId w:val="7"/>
        </w:numPr>
        <w:spacing w:before="120" w:beforeLines="0" w:after="120" w:afterLines="50"/>
        <w:jc w:val="left"/>
        <w:outlineLvl w:val="3"/>
        <w:rPr>
          <w:rFonts w:hint="eastAsia"/>
          <w:lang w:bidi="ar"/>
        </w:rPr>
      </w:pPr>
      <w:bookmarkStart w:id="288" w:name="_Toc12389"/>
      <w:bookmarkStart w:id="289" w:name="_Toc19150"/>
      <w:r>
        <w:rPr>
          <w:rFonts w:hint="eastAsia"/>
          <w:lang w:bidi="ar"/>
        </w:rPr>
        <w:t>遥感监测调查</w:t>
      </w:r>
      <w:bookmarkEnd w:id="288"/>
      <w:bookmarkEnd w:id="289"/>
    </w:p>
    <w:p w14:paraId="5AEBD9FE">
      <w:pPr>
        <w:numPr>
          <w:ilvl w:val="255"/>
          <w:numId w:val="0"/>
        </w:numPr>
        <w:spacing w:before="0" w:beforeLines="0"/>
        <w:ind w:firstLine="420"/>
        <w:rPr>
          <w:rFonts w:hint="eastAsia"/>
          <w:lang w:bidi="ar"/>
        </w:rPr>
      </w:pPr>
      <w:r>
        <w:rPr>
          <w:rFonts w:hint="eastAsia"/>
          <w:lang w:bidi="ar"/>
        </w:rPr>
        <w:t>借助卫星遥感、航空遥感等技术手段，获取大范围、多时段的地表</w:t>
      </w:r>
      <w:r>
        <w:rPr>
          <w:rFonts w:hint="eastAsia"/>
          <w:lang w:val="en-US" w:eastAsia="zh-CN" w:bidi="ar"/>
        </w:rPr>
        <w:t>遥感</w:t>
      </w:r>
      <w:r>
        <w:rPr>
          <w:rFonts w:hint="eastAsia"/>
          <w:lang w:bidi="ar"/>
        </w:rPr>
        <w:t>数据，支持生态系统空间格局识别与动态变化分析。</w:t>
      </w:r>
    </w:p>
    <w:p w14:paraId="064D5A1D">
      <w:pPr>
        <w:pStyle w:val="57"/>
        <w:numPr>
          <w:ilvl w:val="1"/>
          <w:numId w:val="7"/>
        </w:numPr>
        <w:spacing w:before="120" w:beforeLines="0" w:after="120" w:afterLines="50"/>
        <w:jc w:val="left"/>
        <w:outlineLvl w:val="2"/>
        <w:rPr>
          <w:rFonts w:hint="eastAsia" w:ascii="黑体" w:hAnsi="黑体" w:eastAsia="黑体" w:cs="黑体"/>
          <w:lang w:bidi="ar"/>
        </w:rPr>
      </w:pPr>
      <w:bookmarkStart w:id="290" w:name="_Toc25329"/>
      <w:bookmarkStart w:id="291" w:name="_Toc19924"/>
      <w:bookmarkStart w:id="292" w:name="_Toc647"/>
      <w:bookmarkStart w:id="293" w:name="_Toc5674"/>
      <w:bookmarkStart w:id="294" w:name="_Toc5227"/>
      <w:bookmarkStart w:id="295" w:name="_Toc21870"/>
      <w:bookmarkStart w:id="296" w:name="_Toc12895"/>
      <w:bookmarkStart w:id="297" w:name="_Toc4094"/>
      <w:r>
        <w:rPr>
          <w:rFonts w:hint="eastAsia" w:ascii="黑体" w:hAnsi="黑体" w:eastAsia="黑体" w:cs="黑体"/>
          <w:lang w:bidi="ar"/>
        </w:rPr>
        <w:t>数据核查</w:t>
      </w:r>
      <w:bookmarkEnd w:id="290"/>
      <w:bookmarkEnd w:id="291"/>
      <w:bookmarkEnd w:id="292"/>
      <w:bookmarkEnd w:id="293"/>
      <w:bookmarkEnd w:id="294"/>
      <w:bookmarkEnd w:id="295"/>
      <w:bookmarkEnd w:id="296"/>
      <w:bookmarkEnd w:id="297"/>
    </w:p>
    <w:p w14:paraId="7312D800">
      <w:pPr>
        <w:pStyle w:val="56"/>
        <w:numPr>
          <w:ilvl w:val="2"/>
          <w:numId w:val="7"/>
        </w:numPr>
        <w:spacing w:before="120" w:beforeLines="0" w:after="120" w:afterLines="50"/>
        <w:jc w:val="left"/>
        <w:outlineLvl w:val="3"/>
        <w:rPr>
          <w:rFonts w:hint="eastAsia"/>
          <w:lang w:bidi="ar"/>
        </w:rPr>
      </w:pPr>
      <w:bookmarkStart w:id="298" w:name="_Toc17246"/>
      <w:bookmarkStart w:id="299" w:name="_Toc14391"/>
      <w:r>
        <w:rPr>
          <w:rFonts w:hint="eastAsia"/>
          <w:lang w:bidi="ar"/>
        </w:rPr>
        <w:t>数据初步审核</w:t>
      </w:r>
      <w:bookmarkEnd w:id="298"/>
      <w:bookmarkEnd w:id="299"/>
    </w:p>
    <w:p w14:paraId="49D3F0E2">
      <w:pPr>
        <w:spacing w:before="0" w:beforeLines="0"/>
        <w:ind w:firstLine="420"/>
        <w:rPr>
          <w:rFonts w:hint="eastAsia"/>
          <w:lang w:bidi="ar"/>
        </w:rPr>
      </w:pPr>
      <w:r>
        <w:rPr>
          <w:rFonts w:hint="eastAsia"/>
          <w:lang w:bidi="ar"/>
        </w:rPr>
        <w:t>对收集到的数据进行完整性检查，识别并处理缺失值、记录重复等问题；进行逻辑一致性检查，确保数据格式规范、内容合理。</w:t>
      </w:r>
    </w:p>
    <w:p w14:paraId="2FA80D94">
      <w:pPr>
        <w:pStyle w:val="56"/>
        <w:numPr>
          <w:ilvl w:val="2"/>
          <w:numId w:val="7"/>
        </w:numPr>
        <w:spacing w:before="120" w:beforeLines="0" w:after="120" w:afterLines="50"/>
        <w:jc w:val="left"/>
        <w:outlineLvl w:val="3"/>
        <w:rPr>
          <w:rFonts w:hint="eastAsia"/>
          <w:lang w:bidi="ar"/>
        </w:rPr>
      </w:pPr>
      <w:bookmarkStart w:id="300" w:name="_Toc1550"/>
      <w:bookmarkStart w:id="301" w:name="_Toc15832"/>
      <w:r>
        <w:rPr>
          <w:rFonts w:hint="eastAsia"/>
          <w:lang w:bidi="ar"/>
        </w:rPr>
        <w:t>数据比对验证</w:t>
      </w:r>
      <w:bookmarkEnd w:id="300"/>
      <w:bookmarkEnd w:id="301"/>
    </w:p>
    <w:p w14:paraId="2E81414F">
      <w:pPr>
        <w:spacing w:before="0" w:beforeLines="0"/>
        <w:ind w:firstLine="420"/>
        <w:rPr>
          <w:rFonts w:hint="eastAsia"/>
          <w:lang w:bidi="ar"/>
        </w:rPr>
      </w:pPr>
      <w:r>
        <w:rPr>
          <w:rFonts w:hint="eastAsia"/>
          <w:lang w:bidi="ar"/>
        </w:rPr>
        <w:t>内部比对：将不同来源但反映同一生态要素或生态修复工程信息的数据进行对比分析，识别数据差异。</w:t>
      </w:r>
    </w:p>
    <w:p w14:paraId="10BBCCE1">
      <w:pPr>
        <w:widowControl/>
        <w:spacing w:before="0" w:beforeLines="-2147483648"/>
        <w:ind w:firstLine="0"/>
        <w:jc w:val="left"/>
        <w:rPr>
          <w:rFonts w:hint="eastAsia"/>
          <w:lang w:bidi="ar"/>
        </w:rPr>
      </w:pPr>
      <w:r>
        <w:rPr>
          <w:rFonts w:hint="eastAsia"/>
          <w:lang w:bidi="ar"/>
        </w:rPr>
        <w:t>外部比对：</w:t>
      </w:r>
      <w:r>
        <w:rPr>
          <w:rFonts w:hint="eastAsia" w:ascii="宋体" w:hAnsi="宋体" w:eastAsia="宋体" w:cstheme="minorBidi"/>
          <w:color w:val="000000"/>
          <w:kern w:val="2"/>
          <w:sz w:val="21"/>
          <w:szCs w:val="24"/>
          <w:lang w:val="en-US" w:eastAsia="zh-CN" w:bidi="ar"/>
        </w:rPr>
        <w:t>将采集数据与公开发布的国家或地方标准数据集</w:t>
      </w:r>
      <w:r>
        <w:rPr>
          <w:rFonts w:hint="eastAsia"/>
          <w:lang w:bidi="ar"/>
        </w:rPr>
        <w:t>、权威科研机构的监测成果进行交叉验证，评估数据的准确性。</w:t>
      </w:r>
    </w:p>
    <w:p w14:paraId="63D76647">
      <w:pPr>
        <w:pStyle w:val="56"/>
        <w:numPr>
          <w:ilvl w:val="2"/>
          <w:numId w:val="7"/>
        </w:numPr>
        <w:spacing w:before="120" w:beforeLines="0" w:after="120" w:afterLines="50"/>
        <w:jc w:val="left"/>
        <w:outlineLvl w:val="3"/>
        <w:rPr>
          <w:rFonts w:hint="eastAsia"/>
          <w:lang w:bidi="ar"/>
        </w:rPr>
      </w:pPr>
      <w:bookmarkStart w:id="302" w:name="_Toc32610"/>
      <w:bookmarkStart w:id="303" w:name="_Toc12124"/>
      <w:r>
        <w:rPr>
          <w:rFonts w:hint="eastAsia"/>
          <w:lang w:bidi="ar"/>
        </w:rPr>
        <w:t>现场抽查</w:t>
      </w:r>
      <w:bookmarkEnd w:id="302"/>
      <w:bookmarkEnd w:id="303"/>
    </w:p>
    <w:p w14:paraId="26107231">
      <w:pPr>
        <w:spacing w:before="0" w:beforeLines="0"/>
        <w:ind w:firstLine="420"/>
        <w:rPr>
          <w:rFonts w:hint="eastAsia"/>
          <w:lang w:bidi="ar"/>
        </w:rPr>
      </w:pPr>
      <w:r>
        <w:rPr>
          <w:rFonts w:hint="eastAsia"/>
          <w:lang w:bidi="ar"/>
        </w:rPr>
        <w:t>针对生态修复工程实施后的关键指标变化情况，选取典型区域开展现场抽样核查，验证工程实际成效与数据真实性。</w:t>
      </w:r>
    </w:p>
    <w:p w14:paraId="6AF90E42">
      <w:pPr>
        <w:pStyle w:val="56"/>
        <w:numPr>
          <w:ilvl w:val="2"/>
          <w:numId w:val="7"/>
        </w:numPr>
        <w:spacing w:before="120" w:beforeLines="0" w:after="120" w:afterLines="50"/>
        <w:jc w:val="left"/>
        <w:outlineLvl w:val="3"/>
        <w:rPr>
          <w:rFonts w:hint="eastAsia"/>
          <w:lang w:bidi="ar"/>
        </w:rPr>
      </w:pPr>
      <w:bookmarkStart w:id="304" w:name="_Toc23181"/>
      <w:bookmarkStart w:id="305" w:name="_Toc23401"/>
      <w:r>
        <w:rPr>
          <w:rFonts w:hint="eastAsia"/>
          <w:lang w:bidi="ar"/>
        </w:rPr>
        <w:t>数据修正</w:t>
      </w:r>
      <w:bookmarkEnd w:id="260"/>
      <w:bookmarkEnd w:id="304"/>
      <w:bookmarkEnd w:id="305"/>
    </w:p>
    <w:p w14:paraId="77F9BD8C">
      <w:pPr>
        <w:spacing w:before="0" w:beforeLines="0"/>
        <w:ind w:firstLine="420"/>
        <w:rPr>
          <w:rFonts w:hint="eastAsia"/>
          <w:lang w:bidi="ar"/>
        </w:rPr>
      </w:pPr>
      <w:r>
        <w:rPr>
          <w:rFonts w:hint="eastAsia"/>
          <w:lang w:bidi="ar"/>
        </w:rPr>
        <w:t>对于存在显著误差或质量问题的数据进行校正与补充。针对具有滞后性的生态指标，可采用趋势外推法等方法预测其终期效果。</w:t>
      </w:r>
    </w:p>
    <w:p w14:paraId="15536840">
      <w:pPr>
        <w:pStyle w:val="56"/>
        <w:widowControl/>
        <w:numPr>
          <w:ilvl w:val="0"/>
          <w:numId w:val="7"/>
        </w:numPr>
        <w:snapToGrid/>
        <w:spacing w:before="240" w:beforeLines="100" w:after="240" w:afterLines="100"/>
        <w:jc w:val="left"/>
        <w:outlineLvl w:val="1"/>
        <w:rPr>
          <w:rFonts w:hAnsi="Times New Roman" w:cs="Times New Roman"/>
        </w:rPr>
      </w:pPr>
      <w:bookmarkStart w:id="306" w:name="_Toc22021"/>
      <w:bookmarkStart w:id="307" w:name="_Toc25735"/>
      <w:bookmarkStart w:id="308" w:name="_Toc3990"/>
      <w:bookmarkStart w:id="309" w:name="_Toc31507"/>
      <w:bookmarkStart w:id="310" w:name="_Toc16643"/>
      <w:bookmarkStart w:id="311" w:name="_Toc11044"/>
      <w:bookmarkStart w:id="312" w:name="_Toc26592"/>
      <w:bookmarkStart w:id="313" w:name="_Toc17219"/>
      <w:bookmarkStart w:id="314" w:name="OLE_LINK65"/>
      <w:r>
        <w:rPr>
          <w:rFonts w:hint="eastAsia" w:hAnsi="Times New Roman" w:cs="Times New Roman"/>
        </w:rPr>
        <w:t>评估指标计算与结果分级</w:t>
      </w:r>
      <w:bookmarkEnd w:id="306"/>
      <w:bookmarkEnd w:id="307"/>
      <w:bookmarkEnd w:id="308"/>
      <w:bookmarkEnd w:id="309"/>
      <w:bookmarkEnd w:id="310"/>
      <w:bookmarkEnd w:id="311"/>
      <w:bookmarkEnd w:id="312"/>
      <w:bookmarkEnd w:id="313"/>
    </w:p>
    <w:p w14:paraId="6183579A">
      <w:pPr>
        <w:pStyle w:val="57"/>
        <w:numPr>
          <w:ilvl w:val="1"/>
          <w:numId w:val="7"/>
        </w:numPr>
        <w:spacing w:before="120" w:beforeLines="0" w:after="120" w:afterLines="50"/>
        <w:jc w:val="left"/>
        <w:outlineLvl w:val="2"/>
        <w:rPr>
          <w:rFonts w:hint="eastAsia" w:ascii="黑体" w:hAnsi="黑体" w:eastAsia="黑体" w:cs="黑体"/>
          <w:lang w:bidi="ar"/>
        </w:rPr>
      </w:pPr>
      <w:bookmarkStart w:id="315" w:name="_Toc32570"/>
      <w:bookmarkStart w:id="316" w:name="_Toc24925"/>
      <w:bookmarkStart w:id="317" w:name="_Toc349"/>
      <w:bookmarkStart w:id="318" w:name="_Toc15616"/>
      <w:bookmarkStart w:id="319" w:name="_Toc23327"/>
      <w:bookmarkStart w:id="320" w:name="_Toc8840"/>
      <w:bookmarkStart w:id="321" w:name="_Toc18"/>
      <w:bookmarkStart w:id="322" w:name="_Toc28512"/>
      <w:bookmarkStart w:id="323" w:name="OLE_LINK25"/>
      <w:r>
        <w:rPr>
          <w:rFonts w:hint="eastAsia" w:ascii="黑体" w:hAnsi="黑体" w:eastAsia="黑体" w:cs="黑体"/>
          <w:lang w:bidi="ar"/>
        </w:rPr>
        <w:t>评估指标计算</w:t>
      </w:r>
      <w:bookmarkEnd w:id="315"/>
      <w:bookmarkEnd w:id="316"/>
      <w:bookmarkEnd w:id="317"/>
      <w:bookmarkEnd w:id="318"/>
      <w:bookmarkEnd w:id="319"/>
      <w:bookmarkEnd w:id="320"/>
      <w:bookmarkEnd w:id="321"/>
      <w:bookmarkEnd w:id="322"/>
    </w:p>
    <w:p w14:paraId="50FAF064">
      <w:pPr>
        <w:pStyle w:val="56"/>
        <w:numPr>
          <w:ilvl w:val="2"/>
          <w:numId w:val="7"/>
        </w:numPr>
        <w:spacing w:before="120" w:beforeLines="0" w:after="120" w:afterLines="50"/>
        <w:jc w:val="left"/>
        <w:outlineLvl w:val="3"/>
        <w:rPr>
          <w:rFonts w:hint="eastAsia"/>
          <w:lang w:bidi="ar"/>
        </w:rPr>
      </w:pPr>
      <w:bookmarkStart w:id="324" w:name="_Toc15444"/>
      <w:bookmarkStart w:id="325" w:name="_Toc4864"/>
      <w:r>
        <w:rPr>
          <w:rFonts w:hint="eastAsia"/>
          <w:lang w:bidi="ar"/>
        </w:rPr>
        <w:t>指标计算原则</w:t>
      </w:r>
      <w:bookmarkEnd w:id="324"/>
      <w:bookmarkEnd w:id="325"/>
    </w:p>
    <w:bookmarkEnd w:id="323"/>
    <w:p w14:paraId="2EE4E706">
      <w:pPr>
        <w:spacing w:before="0" w:beforeLines="0"/>
        <w:ind w:firstLine="420"/>
        <w:rPr>
          <w:rFonts w:hint="eastAsia" w:cs="宋体"/>
        </w:rPr>
      </w:pPr>
      <w:r>
        <w:rPr>
          <w:rFonts w:hint="eastAsia" w:cs="宋体"/>
        </w:rPr>
        <w:t>一级指标是规划实施评估指标体系三大核心维度，分别为规划目标类、生态效果类和经济社会效果类。</w:t>
      </w:r>
    </w:p>
    <w:p w14:paraId="6DFEF69E">
      <w:pPr>
        <w:spacing w:before="0" w:beforeLines="0"/>
        <w:ind w:firstLine="420"/>
        <w:rPr>
          <w:rFonts w:hint="eastAsia" w:eastAsia="宋体" w:cs="宋体"/>
          <w:lang w:eastAsia="zh-CN"/>
        </w:rPr>
      </w:pPr>
      <w:r>
        <w:rPr>
          <w:rFonts w:hint="eastAsia" w:cs="宋体"/>
        </w:rPr>
        <w:t>二级指标是对一级指标的具体分解，其中规划目标类分解为生态质量、生态保护与生态修复；生态效果类分解为生态系统服务与景观格局；经济社会效果类分解为社会效果类和经济效果类指标</w:t>
      </w:r>
      <w:r>
        <w:rPr>
          <w:rFonts w:hint="eastAsia" w:cs="宋体"/>
          <w:lang w:eastAsia="zh-CN"/>
        </w:rPr>
        <w:t>。</w:t>
      </w:r>
    </w:p>
    <w:p w14:paraId="2918AAA7">
      <w:pPr>
        <w:spacing w:before="0" w:beforeLines="0"/>
        <w:ind w:firstLine="420"/>
        <w:rPr>
          <w:rFonts w:hint="eastAsia" w:cs="宋体"/>
        </w:rPr>
      </w:pPr>
      <w:r>
        <w:rPr>
          <w:rFonts w:hint="eastAsia" w:cs="宋体"/>
        </w:rPr>
        <w:t>三级指标是体系中可直接度量与直接获取数据的具体指标。</w:t>
      </w:r>
    </w:p>
    <w:p w14:paraId="62DC2463">
      <w:pPr>
        <w:spacing w:before="0" w:beforeLines="0"/>
        <w:ind w:firstLine="420"/>
        <w:rPr>
          <w:rFonts w:hint="eastAsia" w:cs="宋体"/>
        </w:rPr>
      </w:pPr>
      <w:r>
        <w:rPr>
          <w:rFonts w:hint="eastAsia" w:cs="宋体"/>
        </w:rPr>
        <w:t>同一评估指标需采用统一的量化标准和计算逻辑。指标计算应体现科学性和可操作性，具体方法详见附录A。</w:t>
      </w:r>
    </w:p>
    <w:p w14:paraId="6F9E6EAC">
      <w:pPr>
        <w:pStyle w:val="56"/>
        <w:numPr>
          <w:ilvl w:val="2"/>
          <w:numId w:val="7"/>
        </w:numPr>
        <w:spacing w:before="120" w:beforeLines="0" w:after="120" w:afterLines="50"/>
        <w:jc w:val="left"/>
        <w:outlineLvl w:val="3"/>
        <w:rPr>
          <w:rFonts w:hint="eastAsia"/>
          <w:lang w:bidi="ar"/>
        </w:rPr>
      </w:pPr>
      <w:bookmarkStart w:id="326" w:name="_Toc23636"/>
      <w:bookmarkStart w:id="327" w:name="_Toc3941"/>
      <w:r>
        <w:rPr>
          <w:rFonts w:hint="eastAsia"/>
          <w:lang w:bidi="ar"/>
        </w:rPr>
        <w:t>指标计算方法</w:t>
      </w:r>
      <w:bookmarkEnd w:id="326"/>
      <w:bookmarkEnd w:id="327"/>
      <w:r>
        <w:rPr>
          <w:rFonts w:hint="eastAsia"/>
          <w:lang w:bidi="ar"/>
        </w:rPr>
        <w:t xml:space="preserve"> </w:t>
      </w:r>
    </w:p>
    <w:p w14:paraId="557E7DC7">
      <w:pPr>
        <w:spacing w:before="0" w:beforeLines="0"/>
        <w:ind w:firstLine="420"/>
        <w:rPr>
          <w:rFonts w:hint="eastAsia" w:cs="宋体"/>
        </w:rPr>
      </w:pPr>
      <w:r>
        <w:rPr>
          <w:rFonts w:hint="eastAsia" w:cs="宋体"/>
        </w:rPr>
        <w:t>比值评估法：通过规划实施后评估指标完成量与规划目标量的比率，评估目标实现程度，适用于生态质量、生态保护、生态修复、社会</w:t>
      </w:r>
      <w:r>
        <w:rPr>
          <w:rFonts w:hint="eastAsia" w:cs="宋体"/>
          <w:lang w:val="en-US" w:eastAsia="zh-CN"/>
        </w:rPr>
        <w:t>效果</w:t>
      </w:r>
      <w:r>
        <w:rPr>
          <w:rFonts w:hint="eastAsia" w:cs="宋体"/>
        </w:rPr>
        <w:t>及经济</w:t>
      </w:r>
      <w:r>
        <w:rPr>
          <w:rFonts w:hint="eastAsia" w:cs="宋体"/>
          <w:lang w:val="en-US" w:eastAsia="zh-CN"/>
        </w:rPr>
        <w:t>效果</w:t>
      </w:r>
      <w:r>
        <w:rPr>
          <w:rFonts w:hint="eastAsia" w:cs="宋体"/>
        </w:rPr>
        <w:t>类指标。</w:t>
      </w:r>
    </w:p>
    <w:p w14:paraId="133CF774">
      <w:pPr>
        <w:spacing w:before="0" w:beforeLines="0"/>
        <w:ind w:firstLine="420"/>
        <w:rPr>
          <w:rFonts w:hint="eastAsia" w:cs="宋体"/>
        </w:rPr>
      </w:pPr>
      <w:r>
        <w:rPr>
          <w:rFonts w:cs="宋体"/>
        </w:rPr>
        <w:t>差值评估法</w:t>
      </w:r>
      <w:r>
        <w:rPr>
          <w:rFonts w:hint="eastAsia" w:cs="宋体"/>
        </w:rPr>
        <w:t>：</w:t>
      </w:r>
      <w:r>
        <w:rPr>
          <w:rFonts w:cs="宋体"/>
        </w:rPr>
        <w:t>通过评估</w:t>
      </w:r>
      <w:r>
        <w:rPr>
          <w:rFonts w:hint="eastAsia" w:cs="宋体"/>
        </w:rPr>
        <w:t>期</w:t>
      </w:r>
      <w:r>
        <w:rPr>
          <w:rFonts w:cs="宋体"/>
        </w:rPr>
        <w:t>与规划</w:t>
      </w:r>
      <w:r>
        <w:rPr>
          <w:rFonts w:hint="eastAsia" w:cs="宋体"/>
        </w:rPr>
        <w:t>评估基期</w:t>
      </w:r>
      <w:r>
        <w:rPr>
          <w:rFonts w:cs="宋体"/>
        </w:rPr>
        <w:t>的指标值变化率，</w:t>
      </w:r>
      <w:r>
        <w:rPr>
          <w:rFonts w:hint="eastAsia" w:cs="宋体"/>
        </w:rPr>
        <w:t>衡量规划实施提升效果。适用于生态系统服务与景观格局类指标。</w:t>
      </w:r>
    </w:p>
    <w:p w14:paraId="046EBEF8">
      <w:pPr>
        <w:spacing w:before="0" w:beforeLines="0"/>
        <w:ind w:firstLine="420"/>
        <w:rPr>
          <w:rFonts w:hint="eastAsia" w:cs="宋体"/>
        </w:rPr>
      </w:pPr>
      <w:r>
        <w:rPr>
          <w:rFonts w:hint="eastAsia" w:cs="宋体"/>
        </w:rPr>
        <w:t>具体计算方法详见附录B.1。</w:t>
      </w:r>
    </w:p>
    <w:p w14:paraId="24D84009">
      <w:pPr>
        <w:pStyle w:val="56"/>
        <w:numPr>
          <w:ilvl w:val="2"/>
          <w:numId w:val="7"/>
        </w:numPr>
        <w:spacing w:before="120" w:beforeLines="0" w:after="120" w:afterLines="50"/>
        <w:jc w:val="left"/>
        <w:outlineLvl w:val="3"/>
        <w:rPr>
          <w:rFonts w:hint="eastAsia"/>
          <w:lang w:bidi="ar"/>
        </w:rPr>
      </w:pPr>
      <w:bookmarkStart w:id="328" w:name="_Toc8591"/>
      <w:bookmarkStart w:id="329" w:name="_Toc5061"/>
      <w:r>
        <w:rPr>
          <w:rFonts w:hint="eastAsia"/>
          <w:lang w:bidi="ar"/>
        </w:rPr>
        <w:t>指标权重确定</w:t>
      </w:r>
      <w:bookmarkEnd w:id="328"/>
      <w:bookmarkEnd w:id="329"/>
    </w:p>
    <w:p w14:paraId="6459D07D">
      <w:pPr>
        <w:spacing w:before="0" w:beforeLines="0"/>
        <w:ind w:firstLine="420"/>
        <w:rPr>
          <w:rFonts w:hint="eastAsia" w:cs="宋体"/>
        </w:rPr>
      </w:pPr>
      <w:r>
        <w:rPr>
          <w:rFonts w:hint="eastAsia" w:cs="宋体"/>
        </w:rPr>
        <w:t>权重确定应体现省级、市（地、州）级和县（市、区）级层级差异与区域特点</w:t>
      </w:r>
      <w:bookmarkStart w:id="330" w:name="OLE_LINK12"/>
      <w:r>
        <w:rPr>
          <w:rFonts w:hint="eastAsia" w:cs="宋体"/>
        </w:rPr>
        <w:t>：</w:t>
      </w:r>
    </w:p>
    <w:bookmarkEnd w:id="330"/>
    <w:p w14:paraId="4AC25C3D">
      <w:pPr>
        <w:spacing w:before="0" w:beforeLines="0"/>
        <w:ind w:firstLine="420"/>
        <w:rPr>
          <w:rFonts w:hint="eastAsia" w:cs="宋体"/>
        </w:rPr>
      </w:pPr>
      <w:r>
        <w:rPr>
          <w:rFonts w:hint="eastAsia" w:cs="宋体"/>
        </w:rPr>
        <w:t>省级层面应该侧重宏观生态安全格局、资源环境承载底线、重大生态修复工程综合</w:t>
      </w:r>
      <w:r>
        <w:rPr>
          <w:rFonts w:hint="eastAsia" w:cs="宋体"/>
          <w:lang w:val="en-US" w:eastAsia="zh-CN"/>
        </w:rPr>
        <w:t>效果</w:t>
      </w:r>
      <w:r>
        <w:rPr>
          <w:rFonts w:hint="eastAsia" w:cs="宋体"/>
        </w:rPr>
        <w:t>及国家相关制度落实等。</w:t>
      </w:r>
    </w:p>
    <w:p w14:paraId="12659AEE">
      <w:pPr>
        <w:spacing w:before="0" w:beforeLines="0"/>
        <w:ind w:firstLine="420"/>
        <w:rPr>
          <w:rFonts w:hint="eastAsia" w:cs="宋体"/>
        </w:rPr>
      </w:pPr>
      <w:r>
        <w:rPr>
          <w:rFonts w:hint="eastAsia" w:cs="宋体"/>
        </w:rPr>
        <w:t>市（</w:t>
      </w:r>
      <w:bookmarkStart w:id="331" w:name="OLE_LINK6"/>
      <w:r>
        <w:rPr>
          <w:rFonts w:hint="eastAsia" w:cs="宋体"/>
        </w:rPr>
        <w:t>地、州</w:t>
      </w:r>
      <w:bookmarkEnd w:id="331"/>
      <w:r>
        <w:rPr>
          <w:rFonts w:hint="eastAsia" w:cs="宋体"/>
        </w:rPr>
        <w:t>）级层面应该侧重生态服务功能提升与生态景观联通度提升，关注城乡区域协调治理、重要生态节点修复、生态修复示范工程与制度创新等。</w:t>
      </w:r>
    </w:p>
    <w:p w14:paraId="2D613379">
      <w:pPr>
        <w:spacing w:before="0" w:beforeLines="0"/>
        <w:ind w:firstLine="420"/>
        <w:rPr>
          <w:rFonts w:hint="eastAsia" w:cs="宋体"/>
        </w:rPr>
      </w:pPr>
      <w:bookmarkStart w:id="332" w:name="OLE_LINK11"/>
      <w:r>
        <w:rPr>
          <w:rFonts w:hint="eastAsia" w:cs="宋体"/>
        </w:rPr>
        <w:t>县（市、区）级</w:t>
      </w:r>
      <w:bookmarkEnd w:id="332"/>
      <w:r>
        <w:rPr>
          <w:rFonts w:hint="eastAsia" w:cs="宋体"/>
        </w:rPr>
        <w:t>层面应该侧重修复图斑的实施进程和综合成效，注重自然修复与人工修复技术结合、生态功能修复情况、公众参与度及长效管理等。</w:t>
      </w:r>
    </w:p>
    <w:p w14:paraId="56350CDB">
      <w:pPr>
        <w:spacing w:before="0" w:beforeLines="0"/>
        <w:ind w:firstLine="420"/>
        <w:rPr>
          <w:rFonts w:hint="eastAsia" w:cs="宋体"/>
        </w:rPr>
      </w:pPr>
      <w:r>
        <w:rPr>
          <w:rFonts w:hint="eastAsia" w:cs="宋体"/>
        </w:rPr>
        <w:t>三级指标初始权重可采用专家打分法、模型计算等方法确定。</w:t>
      </w:r>
    </w:p>
    <w:p w14:paraId="24E5424A">
      <w:pPr>
        <w:spacing w:before="0" w:beforeLines="0"/>
        <w:ind w:firstLine="420"/>
        <w:rPr>
          <w:rFonts w:hint="eastAsia" w:cs="宋体"/>
        </w:rPr>
      </w:pPr>
      <w:r>
        <w:rPr>
          <w:rFonts w:hint="eastAsia" w:cs="宋体"/>
        </w:rPr>
        <w:t>附加调整系数为0.5—1.5，其中约束性指标建议调整系数为1.2，预期性指标调整系数为0.6。</w:t>
      </w:r>
    </w:p>
    <w:p w14:paraId="743BD243">
      <w:pPr>
        <w:spacing w:before="0" w:beforeLines="0"/>
        <w:ind w:firstLine="420"/>
        <w:rPr>
          <w:rFonts w:hAnsi="Cambria Math" w:cs="Times New Roman"/>
          <w:sz w:val="28"/>
          <w:szCs w:val="28"/>
          <w:vertAlign w:val="subscript"/>
        </w:rPr>
      </w:pPr>
      <w:r>
        <w:rPr>
          <w:rFonts w:hint="eastAsia"/>
        </w:rPr>
        <w:t>三级指标的权重</w:t>
      </w:r>
      <w:r>
        <w:rPr>
          <w:rFonts w:hint="eastAsia"/>
          <w:i/>
          <w:iCs/>
          <w:vertAlign w:val="subscript"/>
        </w:rPr>
        <w:t>i</w:t>
      </w:r>
      <w:r>
        <w:rPr>
          <w:rFonts w:hint="eastAsia"/>
          <w:sz w:val="28"/>
          <w:szCs w:val="28"/>
        </w:rPr>
        <w:t>=</w:t>
      </w:r>
      <m:oMath>
        <m:f>
          <m:fPr>
            <m:ctrlPr>
              <w:rPr>
                <w:rFonts w:ascii="Cambria Math" w:hAnsi="Cambria Math" w:cs="Times New Roman"/>
                <w:sz w:val="28"/>
                <w:szCs w:val="28"/>
                <w:vertAlign w:val="subscript"/>
              </w:rPr>
            </m:ctrlPr>
          </m:fPr>
          <m:num>
            <m:sSub>
              <m:sSubPr>
                <m:ctrlPr>
                  <w:rPr>
                    <w:rFonts w:ascii="Cambria Math" w:hAnsi="Cambria Math" w:cs="Times New Roman"/>
                    <w:sz w:val="28"/>
                    <w:szCs w:val="28"/>
                    <w:vertAlign w:val="subscript"/>
                  </w:rPr>
                </m:ctrlPr>
              </m:sSubPr>
              <m:e>
                <m:r>
                  <m:rPr>
                    <m:nor/>
                    <m:sty m:val="p"/>
                  </m:rPr>
                  <w:rPr>
                    <w:rFonts w:ascii="Times New Roman" w:hAnsi="Times New Roman" w:cs="Times New Roman"/>
                    <w:b w:val="0"/>
                    <w:i w:val="0"/>
                    <w:sz w:val="28"/>
                    <w:szCs w:val="28"/>
                  </w:rPr>
                  <m:t>（初始权重×附加调整系数）</m:t>
                </m:r>
                <m:ctrlPr>
                  <w:rPr>
                    <w:rFonts w:ascii="Cambria Math" w:hAnsi="Cambria Math" w:cs="Times New Roman"/>
                    <w:sz w:val="28"/>
                    <w:szCs w:val="28"/>
                    <w:vertAlign w:val="subscript"/>
                  </w:rPr>
                </m:ctrlPr>
              </m:e>
              <m:sub>
                <m:r>
                  <m:rPr>
                    <m:nor/>
                  </m:rPr>
                  <w:rPr>
                    <w:rFonts w:ascii="Times New Roman" w:hAnsi="Times New Roman" w:cs="Times New Roman"/>
                    <w:i/>
                    <w:iCs/>
                    <w:sz w:val="28"/>
                    <w:szCs w:val="28"/>
                    <w:vertAlign w:val="subscript"/>
                  </w:rPr>
                  <m:t>i</m:t>
                </m:r>
                <m:ctrlPr>
                  <w:rPr>
                    <w:rFonts w:ascii="Cambria Math" w:hAnsi="Cambria Math" w:cs="Times New Roman"/>
                    <w:sz w:val="28"/>
                    <w:szCs w:val="28"/>
                    <w:vertAlign w:val="subscript"/>
                  </w:rPr>
                </m:ctrlPr>
              </m:sub>
            </m:sSub>
            <m:ctrlPr>
              <w:rPr>
                <w:rFonts w:ascii="Cambria Math" w:hAnsi="Cambria Math" w:cs="Times New Roman"/>
                <w:sz w:val="28"/>
                <w:szCs w:val="28"/>
                <w:vertAlign w:val="subscript"/>
              </w:rPr>
            </m:ctrlPr>
          </m:num>
          <m:den>
            <m:nary>
              <m:naryPr>
                <m:chr m:val="∑"/>
                <m:limLoc m:val="undOvr"/>
                <m:supHide m:val="1"/>
                <m:ctrlPr>
                  <w:rPr>
                    <w:rFonts w:ascii="Cambria Math" w:hAnsi="Cambria Math" w:cs="Times New Roman"/>
                    <w:sz w:val="28"/>
                    <w:szCs w:val="28"/>
                    <w:vertAlign w:val="subscript"/>
                  </w:rPr>
                </m:ctrlPr>
              </m:naryPr>
              <m:sub>
                <m:r>
                  <m:rPr>
                    <m:nor/>
                    <m:sty m:val="p"/>
                  </m:rPr>
                  <w:rPr>
                    <w:rFonts w:ascii="Times New Roman" w:hAnsi="Times New Roman" w:cs="Times New Roman"/>
                    <w:b w:val="0"/>
                    <w:i w:val="0"/>
                    <w:sz w:val="28"/>
                    <w:szCs w:val="28"/>
                    <w:vertAlign w:val="subscript"/>
                  </w:rPr>
                  <m:t>i</m:t>
                </m:r>
                <m:ctrlPr>
                  <w:rPr>
                    <w:rFonts w:ascii="Cambria Math" w:hAnsi="Cambria Math" w:cs="Times New Roman"/>
                    <w:sz w:val="28"/>
                    <w:szCs w:val="28"/>
                    <w:vertAlign w:val="subscript"/>
                  </w:rPr>
                </m:ctrlPr>
              </m:sub>
              <m:sup>
                <m:ctrlPr>
                  <w:rPr>
                    <w:rFonts w:ascii="Cambria Math" w:hAnsi="Cambria Math" w:cs="Times New Roman"/>
                    <w:sz w:val="28"/>
                    <w:szCs w:val="28"/>
                    <w:vertAlign w:val="subscript"/>
                  </w:rPr>
                </m:ctrlPr>
              </m:sup>
              <m:e>
                <m:sSub>
                  <m:sSubPr>
                    <m:ctrlPr>
                      <w:rPr>
                        <w:rFonts w:ascii="Cambria Math" w:hAnsi="Cambria Math" w:cs="Times New Roman"/>
                        <w:sz w:val="28"/>
                        <w:szCs w:val="28"/>
                        <w:vertAlign w:val="subscript"/>
                      </w:rPr>
                    </m:ctrlPr>
                  </m:sSubPr>
                  <m:e>
                    <m:r>
                      <m:rPr>
                        <m:nor/>
                        <m:sty m:val="p"/>
                      </m:rPr>
                      <w:rPr>
                        <w:rFonts w:ascii="Times New Roman" w:hAnsi="Times New Roman" w:cs="Times New Roman"/>
                        <w:b w:val="0"/>
                        <w:i w:val="0"/>
                        <w:sz w:val="28"/>
                        <w:szCs w:val="28"/>
                      </w:rPr>
                      <m:t>（初始权重×附加调整系数）</m:t>
                    </m:r>
                    <m:ctrlPr>
                      <w:rPr>
                        <w:rFonts w:ascii="Cambria Math" w:hAnsi="Cambria Math" w:cs="Times New Roman"/>
                        <w:sz w:val="28"/>
                        <w:szCs w:val="28"/>
                        <w:vertAlign w:val="subscript"/>
                      </w:rPr>
                    </m:ctrlPr>
                  </m:e>
                  <m:sub>
                    <m:r>
                      <m:rPr>
                        <m:nor/>
                      </m:rPr>
                      <w:rPr>
                        <w:rFonts w:ascii="Times New Roman" w:hAnsi="Times New Roman" w:cs="Times New Roman"/>
                        <w:i/>
                        <w:iCs/>
                        <w:sz w:val="28"/>
                        <w:szCs w:val="28"/>
                        <w:vertAlign w:val="subscript"/>
                      </w:rPr>
                      <m:t>i</m:t>
                    </m:r>
                    <m:ctrlPr>
                      <w:rPr>
                        <w:rFonts w:ascii="Cambria Math" w:hAnsi="Cambria Math" w:cs="Times New Roman"/>
                        <w:sz w:val="28"/>
                        <w:szCs w:val="28"/>
                        <w:vertAlign w:val="subscript"/>
                      </w:rPr>
                    </m:ctrlPr>
                  </m:sub>
                </m:sSub>
                <m:ctrlPr>
                  <w:rPr>
                    <w:rFonts w:ascii="Cambria Math" w:hAnsi="Cambria Math" w:cs="Times New Roman"/>
                    <w:sz w:val="28"/>
                    <w:szCs w:val="28"/>
                    <w:vertAlign w:val="subscript"/>
                  </w:rPr>
                </m:ctrlPr>
              </m:e>
            </m:nary>
            <m:ctrlPr>
              <w:rPr>
                <w:rFonts w:ascii="Cambria Math" w:hAnsi="Cambria Math" w:cs="Times New Roman"/>
                <w:sz w:val="28"/>
                <w:szCs w:val="28"/>
                <w:vertAlign w:val="subscript"/>
              </w:rPr>
            </m:ctrlPr>
          </m:den>
        </m:f>
      </m:oMath>
    </w:p>
    <w:p w14:paraId="4AEBA50C">
      <w:pPr>
        <w:spacing w:before="0" w:beforeLines="0"/>
        <w:ind w:firstLine="420"/>
        <w:rPr>
          <w:rFonts w:hAnsi="Cambria Math" w:cs="Times New Roman"/>
          <w:sz w:val="28"/>
          <w:szCs w:val="28"/>
          <w:vertAlign w:val="subscript"/>
        </w:rPr>
      </w:pPr>
      <w:r>
        <w:rPr>
          <w:rFonts w:hint="eastAsia"/>
        </w:rPr>
        <w:t>二级指标的权重</w:t>
      </w:r>
      <w:r>
        <w:rPr>
          <w:rFonts w:hint="eastAsia"/>
          <w:i/>
          <w:iCs/>
          <w:vertAlign w:val="subscript"/>
        </w:rPr>
        <w:t>j</w:t>
      </w:r>
      <w:r>
        <w:rPr>
          <w:rFonts w:hint="eastAsia"/>
          <w:sz w:val="28"/>
          <w:szCs w:val="28"/>
        </w:rPr>
        <w:t>=</w:t>
      </w:r>
      <m:oMath>
        <m:nary>
          <m:naryPr>
            <m:chr m:val="∑"/>
            <m:limLoc m:val="undOvr"/>
            <m:supHide m:val="1"/>
            <m:ctrlPr>
              <w:rPr>
                <w:rFonts w:ascii="Cambria Math" w:hAnsi="Cambria Math" w:cs="Times New Roman"/>
                <w:sz w:val="28"/>
                <w:szCs w:val="28"/>
                <w:vertAlign w:val="subscript"/>
              </w:rPr>
            </m:ctrlPr>
          </m:naryPr>
          <m:sub>
            <m:r>
              <m:rPr>
                <m:nor/>
              </m:rPr>
              <w:rPr>
                <w:rFonts w:ascii="Times New Roman" w:hAnsi="Times New Roman" w:cs="Times New Roman"/>
                <w:i/>
                <w:iCs/>
                <w:sz w:val="28"/>
                <w:szCs w:val="28"/>
                <w:vertAlign w:val="subscript"/>
              </w:rPr>
              <m:t>i</m:t>
            </m:r>
            <m:ctrlPr>
              <w:rPr>
                <w:rFonts w:ascii="Cambria Math" w:hAnsi="Cambria Math" w:cs="Times New Roman"/>
                <w:sz w:val="28"/>
                <w:szCs w:val="28"/>
                <w:vertAlign w:val="subscript"/>
              </w:rPr>
            </m:ctrlPr>
          </m:sub>
          <m:sup>
            <m:ctrlPr>
              <w:rPr>
                <w:rFonts w:ascii="Cambria Math" w:hAnsi="Cambria Math" w:cs="Times New Roman"/>
                <w:sz w:val="28"/>
                <w:szCs w:val="28"/>
                <w:vertAlign w:val="subscript"/>
              </w:rPr>
            </m:ctrlPr>
          </m:sup>
          <m:e>
            <m:sSub>
              <m:sSubPr>
                <m:ctrlPr>
                  <w:rPr>
                    <w:rFonts w:ascii="Cambria Math" w:hAnsi="Cambria Math" w:cs="Times New Roman"/>
                    <w:sz w:val="28"/>
                    <w:szCs w:val="28"/>
                    <w:vertAlign w:val="subscript"/>
                  </w:rPr>
                </m:ctrlPr>
              </m:sSubPr>
              <m:e>
                <m:r>
                  <m:rPr>
                    <m:sty m:val="p"/>
                  </m:rPr>
                  <w:rPr>
                    <w:rFonts w:hint="eastAsia" w:ascii="Cambria Math" w:hAnsi="Cambria Math"/>
                  </w:rPr>
                  <m:t>三级指标的权重</m:t>
                </m:r>
                <m:ctrlPr>
                  <w:rPr>
                    <w:rFonts w:ascii="Cambria Math" w:hAnsi="Cambria Math" w:cs="Times New Roman"/>
                    <w:sz w:val="28"/>
                    <w:szCs w:val="28"/>
                    <w:vertAlign w:val="subscript"/>
                  </w:rPr>
                </m:ctrlPr>
              </m:e>
              <m:sub>
                <m:r>
                  <m:rPr/>
                  <w:rPr>
                    <w:rFonts w:ascii="Cambria Math" w:hAnsi="Cambria Math" w:cs="Times New Roman"/>
                    <w:sz w:val="28"/>
                    <w:szCs w:val="28"/>
                    <w:vertAlign w:val="subscript"/>
                  </w:rPr>
                  <m:t>ij</m:t>
                </m:r>
                <m:ctrlPr>
                  <w:rPr>
                    <w:rFonts w:ascii="Cambria Math" w:hAnsi="Cambria Math" w:cs="Times New Roman"/>
                    <w:sz w:val="28"/>
                    <w:szCs w:val="28"/>
                    <w:vertAlign w:val="subscript"/>
                  </w:rPr>
                </m:ctrlPr>
              </m:sub>
            </m:sSub>
            <m:ctrlPr>
              <w:rPr>
                <w:rFonts w:ascii="Cambria Math" w:hAnsi="Cambria Math" w:cs="Times New Roman"/>
                <w:sz w:val="28"/>
                <w:szCs w:val="28"/>
                <w:vertAlign w:val="subscript"/>
              </w:rPr>
            </m:ctrlPr>
          </m:e>
        </m:nary>
      </m:oMath>
    </w:p>
    <w:p w14:paraId="4E0BEAC7">
      <w:pPr>
        <w:spacing w:before="0" w:beforeLines="0"/>
        <w:ind w:firstLine="420"/>
        <w:rPr>
          <w:rFonts w:hAnsi="Cambria Math" w:cs="Times New Roman"/>
          <w:sz w:val="28"/>
          <w:szCs w:val="28"/>
          <w:vertAlign w:val="subscript"/>
        </w:rPr>
      </w:pPr>
      <w:r>
        <w:rPr>
          <w:rFonts w:hint="eastAsia"/>
        </w:rPr>
        <w:t>一级指标的权重</w:t>
      </w:r>
      <w:r>
        <w:rPr>
          <w:rFonts w:hint="eastAsia"/>
          <w:i/>
          <w:iCs/>
          <w:vertAlign w:val="subscript"/>
        </w:rPr>
        <w:t>k</w:t>
      </w:r>
      <w:r>
        <w:rPr>
          <w:rFonts w:hint="eastAsia"/>
          <w:sz w:val="28"/>
          <w:szCs w:val="28"/>
        </w:rPr>
        <w:t>=</w:t>
      </w:r>
      <m:oMath>
        <m:nary>
          <m:naryPr>
            <m:chr m:val="∑"/>
            <m:limLoc m:val="undOvr"/>
            <m:supHide m:val="1"/>
            <m:ctrlPr>
              <w:rPr>
                <w:rFonts w:ascii="Cambria Math" w:hAnsi="Cambria Math" w:cs="Times New Roman"/>
                <w:sz w:val="28"/>
                <w:szCs w:val="28"/>
                <w:vertAlign w:val="subscript"/>
              </w:rPr>
            </m:ctrlPr>
          </m:naryPr>
          <m:sub>
            <m:r>
              <m:rPr/>
              <w:rPr>
                <w:rFonts w:ascii="Times New Roman" w:hAnsi="Times New Roman" w:cs="Times New Roman"/>
                <w:sz w:val="28"/>
                <w:szCs w:val="28"/>
                <w:vertAlign w:val="subscript"/>
              </w:rPr>
              <m:t>j</m:t>
            </m:r>
            <m:ctrlPr>
              <w:rPr>
                <w:rFonts w:ascii="Cambria Math" w:hAnsi="Cambria Math" w:cs="Times New Roman"/>
                <w:sz w:val="28"/>
                <w:szCs w:val="28"/>
                <w:vertAlign w:val="subscript"/>
              </w:rPr>
            </m:ctrlPr>
          </m:sub>
          <m:sup>
            <m:ctrlPr>
              <w:rPr>
                <w:rFonts w:ascii="Cambria Math" w:hAnsi="Cambria Math" w:cs="Times New Roman"/>
                <w:sz w:val="28"/>
                <w:szCs w:val="28"/>
                <w:vertAlign w:val="subscript"/>
              </w:rPr>
            </m:ctrlPr>
          </m:sup>
          <m:e>
            <m:sSub>
              <m:sSubPr>
                <m:ctrlPr>
                  <w:rPr>
                    <w:rFonts w:ascii="Cambria Math" w:hAnsi="Cambria Math" w:cs="Times New Roman"/>
                    <w:sz w:val="28"/>
                    <w:szCs w:val="28"/>
                    <w:vertAlign w:val="subscript"/>
                  </w:rPr>
                </m:ctrlPr>
              </m:sSubPr>
              <m:e>
                <m:r>
                  <m:rPr>
                    <m:sty m:val="p"/>
                  </m:rPr>
                  <w:rPr>
                    <w:rFonts w:hint="eastAsia" w:ascii="Cambria Math" w:hAnsi="Cambria Math" w:cs="Times New Roman"/>
                    <w:sz w:val="28"/>
                    <w:szCs w:val="28"/>
                    <w:vertAlign w:val="subscript"/>
                  </w:rPr>
                  <m:t>二</m:t>
                </m:r>
                <m:r>
                  <m:rPr>
                    <m:sty m:val="p"/>
                  </m:rPr>
                  <w:rPr>
                    <w:rFonts w:hint="eastAsia" w:ascii="Cambria Math" w:hAnsi="Cambria Math"/>
                  </w:rPr>
                  <m:t>级指标的权重</m:t>
                </m:r>
                <m:ctrlPr>
                  <w:rPr>
                    <w:rFonts w:ascii="Cambria Math" w:hAnsi="Cambria Math" w:cs="Times New Roman"/>
                    <w:sz w:val="28"/>
                    <w:szCs w:val="28"/>
                    <w:vertAlign w:val="subscript"/>
                  </w:rPr>
                </m:ctrlPr>
              </m:e>
              <m:sub>
                <m:r>
                  <m:rPr/>
                  <w:rPr>
                    <w:rFonts w:hint="default" w:ascii="Cambria Math" w:hAnsi="Cambria Math" w:cs="Times New Roman"/>
                    <w:sz w:val="28"/>
                    <w:szCs w:val="28"/>
                    <w:vertAlign w:val="subscript"/>
                    <w:lang w:val="en-US" w:eastAsia="zh-CN"/>
                  </w:rPr>
                  <m:t>j</m:t>
                </m:r>
                <m:r>
                  <m:rPr/>
                  <w:rPr>
                    <w:rFonts w:ascii="Cambria Math" w:hAnsi="Cambria Math" w:cs="Times New Roman"/>
                    <w:sz w:val="28"/>
                    <w:szCs w:val="28"/>
                    <w:vertAlign w:val="subscript"/>
                  </w:rPr>
                  <m:t>k</m:t>
                </m:r>
                <m:ctrlPr>
                  <w:rPr>
                    <w:rFonts w:ascii="Cambria Math" w:hAnsi="Cambria Math" w:cs="Times New Roman"/>
                    <w:sz w:val="28"/>
                    <w:szCs w:val="28"/>
                    <w:vertAlign w:val="subscript"/>
                  </w:rPr>
                </m:ctrlPr>
              </m:sub>
            </m:sSub>
            <m:ctrlPr>
              <w:rPr>
                <w:rFonts w:ascii="Cambria Math" w:hAnsi="Cambria Math" w:cs="Times New Roman"/>
                <w:sz w:val="28"/>
                <w:szCs w:val="28"/>
                <w:vertAlign w:val="subscript"/>
              </w:rPr>
            </m:ctrlPr>
          </m:e>
        </m:nary>
      </m:oMath>
    </w:p>
    <w:p w14:paraId="0090F41A">
      <w:pPr>
        <w:spacing w:before="0" w:beforeLines="0"/>
        <w:ind w:firstLine="420"/>
        <w:rPr>
          <w:rFonts w:hint="eastAsia"/>
        </w:rPr>
      </w:pPr>
      <w:r>
        <w:rPr>
          <w:rFonts w:hint="eastAsia"/>
        </w:rPr>
        <w:t>其中</w:t>
      </w:r>
      <w:r>
        <w:rPr>
          <w:rFonts w:hint="eastAsia"/>
          <w:i/>
          <w:iCs/>
        </w:rPr>
        <w:t>i</w:t>
      </w:r>
      <w:r>
        <w:rPr>
          <w:rFonts w:hint="eastAsia"/>
        </w:rPr>
        <w:t>表示三级指标项，</w:t>
      </w:r>
      <w:r>
        <w:rPr>
          <w:rFonts w:hint="eastAsia"/>
          <w:i/>
          <w:iCs/>
        </w:rPr>
        <w:t>j</w:t>
      </w:r>
      <w:r>
        <w:rPr>
          <w:rFonts w:hint="eastAsia"/>
        </w:rPr>
        <w:t>表示二级指标项，</w:t>
      </w:r>
      <w:r>
        <w:rPr>
          <w:rFonts w:hint="eastAsia"/>
          <w:i/>
          <w:iCs/>
        </w:rPr>
        <w:t>k</w:t>
      </w:r>
      <w:r>
        <w:rPr>
          <w:rFonts w:hint="eastAsia"/>
        </w:rPr>
        <w:t>表示一级指标项。</w:t>
      </w:r>
    </w:p>
    <w:p w14:paraId="64BF9F4D">
      <w:pPr>
        <w:spacing w:before="0" w:beforeLines="0"/>
        <w:ind w:firstLine="420"/>
        <w:rPr>
          <w:rFonts w:hint="eastAsia"/>
        </w:rPr>
      </w:pPr>
      <w:r>
        <w:rPr>
          <w:rFonts w:hint="eastAsia"/>
        </w:rPr>
        <w:t>不同层次（一级、二级）的权重计算遵循“自下而上”的逻辑，不同尺度指标权重分布推荐表详见下表：</w:t>
      </w:r>
    </w:p>
    <w:p w14:paraId="03479862">
      <w:pPr>
        <w:pStyle w:val="54"/>
        <w:spacing w:before="120" w:after="120"/>
      </w:pPr>
      <w:r>
        <w:rPr>
          <w:rFonts w:hint="eastAsia"/>
        </w:rPr>
        <w:t>不同尺度指标权重分布推荐表</w:t>
      </w:r>
    </w:p>
    <w:tbl>
      <w:tblPr>
        <w:tblStyle w:val="1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0"/>
        <w:gridCol w:w="1805"/>
        <w:gridCol w:w="1953"/>
        <w:gridCol w:w="1810"/>
        <w:gridCol w:w="1810"/>
      </w:tblGrid>
      <w:tr w14:paraId="4868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920" w:type="pct"/>
            <w:gridSpan w:val="2"/>
            <w:tcBorders>
              <w:top w:val="single" w:color="000000" w:sz="4" w:space="0"/>
              <w:left w:val="single" w:color="000000" w:sz="4" w:space="0"/>
              <w:bottom w:val="single" w:color="000000" w:sz="4" w:space="0"/>
              <w:right w:val="single" w:color="000000" w:sz="4" w:space="0"/>
              <w:tl2br w:val="single" w:color="000000" w:sz="4" w:space="0"/>
            </w:tcBorders>
            <w:shd w:val="clear" w:color="auto" w:fill="FFFFFF"/>
          </w:tcPr>
          <w:p w14:paraId="695E1435">
            <w:pPr>
              <w:spacing w:before="0" w:beforeLines="0"/>
              <w:ind w:firstLine="1260" w:firstLineChars="700"/>
              <w:jc w:val="center"/>
              <w:rPr>
                <w:rFonts w:hint="eastAsia"/>
                <w:color w:val="000000"/>
                <w:sz w:val="18"/>
                <w:szCs w:val="18"/>
              </w:rPr>
            </w:pPr>
            <w:r>
              <w:rPr>
                <w:rFonts w:hint="eastAsia"/>
                <w:color w:val="000000"/>
                <w:sz w:val="18"/>
                <w:szCs w:val="18"/>
              </w:rPr>
              <w:t>不同尺度</w:t>
            </w:r>
          </w:p>
          <w:p w14:paraId="5D90B60D">
            <w:pPr>
              <w:spacing w:before="0" w:beforeLines="0"/>
              <w:ind w:firstLine="0" w:firstLineChars="0"/>
              <w:jc w:val="center"/>
              <w:rPr>
                <w:rFonts w:hint="eastAsia"/>
                <w:color w:val="000000"/>
                <w:sz w:val="18"/>
                <w:szCs w:val="18"/>
              </w:rPr>
            </w:pPr>
            <w:r>
              <w:rPr>
                <w:rFonts w:hint="eastAsia"/>
                <w:color w:val="000000"/>
                <w:sz w:val="18"/>
                <w:szCs w:val="18"/>
              </w:rPr>
              <w:t>指标层次</w:t>
            </w:r>
          </w:p>
        </w:tc>
        <w:tc>
          <w:tcPr>
            <w:tcW w:w="1079" w:type="pct"/>
            <w:vMerge w:val="restart"/>
            <w:tcBorders>
              <w:top w:val="single" w:color="000000" w:sz="4" w:space="0"/>
              <w:left w:val="single" w:color="000000" w:sz="4" w:space="0"/>
              <w:right w:val="single" w:color="000000" w:sz="4" w:space="0"/>
            </w:tcBorders>
            <w:shd w:val="clear" w:color="auto" w:fill="FFFFFF"/>
            <w:vAlign w:val="center"/>
          </w:tcPr>
          <w:p w14:paraId="135620C8">
            <w:pPr>
              <w:spacing w:before="0" w:beforeLines="0"/>
              <w:ind w:firstLine="0" w:firstLineChars="0"/>
              <w:jc w:val="center"/>
              <w:rPr>
                <w:rFonts w:hint="eastAsia"/>
                <w:color w:val="000000"/>
                <w:sz w:val="18"/>
                <w:szCs w:val="18"/>
              </w:rPr>
            </w:pPr>
            <w:r>
              <w:rPr>
                <w:rFonts w:hint="eastAsia"/>
                <w:color w:val="000000"/>
                <w:sz w:val="18"/>
                <w:szCs w:val="18"/>
              </w:rPr>
              <w:t>省级</w:t>
            </w:r>
          </w:p>
        </w:tc>
        <w:tc>
          <w:tcPr>
            <w:tcW w:w="1000" w:type="pct"/>
            <w:vMerge w:val="restart"/>
            <w:tcBorders>
              <w:top w:val="single" w:color="000000" w:sz="4" w:space="0"/>
              <w:left w:val="single" w:color="000000" w:sz="4" w:space="0"/>
              <w:right w:val="single" w:color="000000" w:sz="4" w:space="0"/>
            </w:tcBorders>
            <w:shd w:val="clear" w:color="auto" w:fill="FFFFFF"/>
            <w:vAlign w:val="center"/>
          </w:tcPr>
          <w:p w14:paraId="25902488">
            <w:pPr>
              <w:spacing w:before="0" w:beforeLines="0"/>
              <w:ind w:firstLine="0" w:firstLineChars="0"/>
              <w:jc w:val="center"/>
              <w:rPr>
                <w:rFonts w:hint="eastAsia"/>
                <w:color w:val="000000"/>
                <w:sz w:val="18"/>
                <w:szCs w:val="18"/>
              </w:rPr>
            </w:pPr>
            <w:r>
              <w:rPr>
                <w:rFonts w:hint="eastAsia"/>
                <w:color w:val="000000"/>
                <w:sz w:val="18"/>
                <w:szCs w:val="18"/>
              </w:rPr>
              <w:t>市级</w:t>
            </w:r>
          </w:p>
        </w:tc>
        <w:tc>
          <w:tcPr>
            <w:tcW w:w="1000" w:type="pct"/>
            <w:vMerge w:val="restart"/>
            <w:tcBorders>
              <w:top w:val="single" w:color="000000" w:sz="4" w:space="0"/>
              <w:left w:val="single" w:color="000000" w:sz="4" w:space="0"/>
              <w:right w:val="single" w:color="000000" w:sz="4" w:space="0"/>
            </w:tcBorders>
            <w:shd w:val="clear" w:color="auto" w:fill="FFFFFF"/>
            <w:vAlign w:val="center"/>
          </w:tcPr>
          <w:p w14:paraId="6A1A2413">
            <w:pPr>
              <w:spacing w:before="0" w:beforeLines="0"/>
              <w:ind w:firstLine="0" w:firstLineChars="0"/>
              <w:jc w:val="center"/>
              <w:rPr>
                <w:rFonts w:hint="eastAsia"/>
                <w:color w:val="000000"/>
                <w:sz w:val="18"/>
                <w:szCs w:val="18"/>
              </w:rPr>
            </w:pPr>
            <w:r>
              <w:rPr>
                <w:rFonts w:hint="eastAsia"/>
                <w:color w:val="000000"/>
                <w:sz w:val="18"/>
                <w:szCs w:val="18"/>
              </w:rPr>
              <w:t>县级</w:t>
            </w:r>
          </w:p>
        </w:tc>
      </w:tr>
      <w:tr w14:paraId="7105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3" w:type="pct"/>
            <w:tcBorders>
              <w:top w:val="single" w:color="000000" w:sz="4" w:space="0"/>
              <w:left w:val="single" w:color="000000" w:sz="4" w:space="0"/>
              <w:right w:val="single" w:color="000000" w:sz="4" w:space="0"/>
            </w:tcBorders>
            <w:shd w:val="clear" w:color="auto" w:fill="FFFFFF"/>
            <w:vAlign w:val="center"/>
          </w:tcPr>
          <w:p w14:paraId="123B0783">
            <w:pPr>
              <w:spacing w:before="0" w:beforeLines="0"/>
              <w:ind w:firstLine="0" w:firstLineChars="0"/>
              <w:jc w:val="center"/>
              <w:rPr>
                <w:rFonts w:hint="eastAsia" w:cs="黑体"/>
                <w:color w:val="000000"/>
                <w:sz w:val="18"/>
                <w:szCs w:val="18"/>
                <w:lang w:bidi="ar"/>
              </w:rPr>
            </w:pPr>
            <w:r>
              <w:rPr>
                <w:rFonts w:hint="eastAsia" w:cs="黑体"/>
                <w:color w:val="000000"/>
                <w:sz w:val="18"/>
                <w:szCs w:val="18"/>
                <w:lang w:bidi="ar"/>
              </w:rPr>
              <w:t>一级指标</w:t>
            </w:r>
          </w:p>
        </w:tc>
        <w:tc>
          <w:tcPr>
            <w:tcW w:w="997" w:type="pct"/>
            <w:tcBorders>
              <w:top w:val="single" w:color="000000" w:sz="4" w:space="0"/>
              <w:left w:val="single" w:color="000000" w:sz="4" w:space="0"/>
              <w:bottom w:val="single" w:color="000000" w:sz="4" w:space="0"/>
              <w:right w:val="single" w:color="000000" w:sz="4" w:space="0"/>
            </w:tcBorders>
            <w:shd w:val="clear" w:color="auto" w:fill="FFFFFF"/>
          </w:tcPr>
          <w:p w14:paraId="3B6AADFF">
            <w:pPr>
              <w:spacing w:before="0" w:beforeLines="0"/>
              <w:ind w:firstLine="0" w:firstLineChars="0"/>
              <w:jc w:val="center"/>
              <w:rPr>
                <w:rFonts w:hint="eastAsia" w:cs="黑体"/>
                <w:color w:val="000000"/>
                <w:sz w:val="18"/>
                <w:szCs w:val="18"/>
                <w:lang w:bidi="ar"/>
              </w:rPr>
            </w:pPr>
            <w:r>
              <w:rPr>
                <w:rFonts w:hint="eastAsia" w:cs="黑体"/>
                <w:color w:val="000000"/>
                <w:sz w:val="18"/>
                <w:szCs w:val="18"/>
                <w:lang w:bidi="ar"/>
              </w:rPr>
              <w:t>二级指标</w:t>
            </w:r>
          </w:p>
        </w:tc>
        <w:tc>
          <w:tcPr>
            <w:tcW w:w="1079" w:type="pct"/>
            <w:vMerge w:val="continue"/>
            <w:tcBorders>
              <w:left w:val="single" w:color="000000" w:sz="4" w:space="0"/>
              <w:bottom w:val="single" w:color="000000" w:sz="4" w:space="0"/>
              <w:right w:val="single" w:color="000000" w:sz="4" w:space="0"/>
            </w:tcBorders>
            <w:shd w:val="clear" w:color="auto" w:fill="FFFFFF"/>
            <w:vAlign w:val="center"/>
          </w:tcPr>
          <w:p w14:paraId="77DB758E">
            <w:pPr>
              <w:spacing w:before="0" w:beforeLines="0"/>
              <w:ind w:firstLine="0" w:firstLineChars="0"/>
              <w:jc w:val="center"/>
              <w:rPr>
                <w:rFonts w:hint="eastAsia"/>
                <w:color w:val="000000"/>
                <w:sz w:val="18"/>
                <w:szCs w:val="18"/>
              </w:rPr>
            </w:pPr>
          </w:p>
        </w:tc>
        <w:tc>
          <w:tcPr>
            <w:tcW w:w="1000" w:type="pct"/>
            <w:vMerge w:val="continue"/>
            <w:tcBorders>
              <w:left w:val="single" w:color="000000" w:sz="4" w:space="0"/>
              <w:bottom w:val="single" w:color="000000" w:sz="4" w:space="0"/>
              <w:right w:val="single" w:color="000000" w:sz="4" w:space="0"/>
            </w:tcBorders>
            <w:shd w:val="clear" w:color="auto" w:fill="FFFFFF"/>
            <w:vAlign w:val="center"/>
          </w:tcPr>
          <w:p w14:paraId="5A1EA5EF">
            <w:pPr>
              <w:spacing w:before="0" w:beforeLines="0"/>
              <w:ind w:firstLine="0" w:firstLineChars="0"/>
              <w:jc w:val="center"/>
              <w:rPr>
                <w:rFonts w:hint="eastAsia"/>
                <w:color w:val="000000"/>
                <w:sz w:val="18"/>
                <w:szCs w:val="18"/>
              </w:rPr>
            </w:pPr>
          </w:p>
        </w:tc>
        <w:tc>
          <w:tcPr>
            <w:tcW w:w="1000" w:type="pct"/>
            <w:vMerge w:val="continue"/>
            <w:tcBorders>
              <w:left w:val="single" w:color="000000" w:sz="4" w:space="0"/>
              <w:bottom w:val="single" w:color="000000" w:sz="4" w:space="0"/>
              <w:right w:val="single" w:color="000000" w:sz="4" w:space="0"/>
            </w:tcBorders>
            <w:shd w:val="clear" w:color="auto" w:fill="FFFFFF"/>
            <w:vAlign w:val="center"/>
          </w:tcPr>
          <w:p w14:paraId="6F40E29E">
            <w:pPr>
              <w:spacing w:before="0" w:beforeLines="0"/>
              <w:ind w:firstLine="0" w:firstLineChars="0"/>
              <w:jc w:val="center"/>
              <w:rPr>
                <w:rFonts w:hint="eastAsia"/>
                <w:color w:val="000000"/>
                <w:sz w:val="18"/>
                <w:szCs w:val="18"/>
              </w:rPr>
            </w:pPr>
          </w:p>
        </w:tc>
      </w:tr>
      <w:tr w14:paraId="03270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3" w:type="pct"/>
            <w:vMerge w:val="restart"/>
            <w:tcBorders>
              <w:top w:val="single" w:color="000000" w:sz="4" w:space="0"/>
              <w:left w:val="single" w:color="000000" w:sz="4" w:space="0"/>
              <w:right w:val="single" w:color="000000" w:sz="4" w:space="0"/>
            </w:tcBorders>
            <w:shd w:val="clear" w:color="auto" w:fill="FFFFFF"/>
            <w:vAlign w:val="center"/>
          </w:tcPr>
          <w:p w14:paraId="2368E49D">
            <w:pPr>
              <w:spacing w:before="0" w:beforeLines="0"/>
              <w:ind w:firstLine="0" w:firstLineChars="0"/>
              <w:jc w:val="center"/>
              <w:rPr>
                <w:rFonts w:hint="eastAsia"/>
                <w:color w:val="000000"/>
                <w:sz w:val="18"/>
                <w:szCs w:val="18"/>
              </w:rPr>
            </w:pPr>
            <w:r>
              <w:rPr>
                <w:rFonts w:hint="eastAsia" w:cs="黑体"/>
                <w:color w:val="000000"/>
                <w:sz w:val="18"/>
                <w:szCs w:val="18"/>
                <w:lang w:bidi="ar"/>
              </w:rPr>
              <w:t>规划目标类</w:t>
            </w:r>
          </w:p>
        </w:tc>
        <w:tc>
          <w:tcPr>
            <w:tcW w:w="997" w:type="pct"/>
            <w:tcBorders>
              <w:top w:val="single" w:color="000000" w:sz="4" w:space="0"/>
              <w:left w:val="single" w:color="000000" w:sz="4" w:space="0"/>
              <w:bottom w:val="single" w:color="000000" w:sz="4" w:space="0"/>
              <w:right w:val="single" w:color="000000" w:sz="4" w:space="0"/>
            </w:tcBorders>
            <w:shd w:val="clear" w:color="auto" w:fill="FFFFFF"/>
          </w:tcPr>
          <w:p w14:paraId="0F1DE0C0">
            <w:pPr>
              <w:spacing w:before="0" w:beforeLines="0"/>
              <w:ind w:firstLine="0" w:firstLineChars="0"/>
              <w:jc w:val="center"/>
              <w:rPr>
                <w:rFonts w:hint="eastAsia"/>
                <w:color w:val="000000"/>
                <w:sz w:val="18"/>
                <w:szCs w:val="18"/>
              </w:rPr>
            </w:pPr>
            <w:r>
              <w:rPr>
                <w:rFonts w:hint="eastAsia" w:cs="黑体"/>
                <w:color w:val="000000"/>
                <w:sz w:val="18"/>
                <w:szCs w:val="18"/>
                <w:lang w:bidi="ar"/>
              </w:rPr>
              <w:t>生态质量</w:t>
            </w:r>
          </w:p>
        </w:tc>
        <w:tc>
          <w:tcPr>
            <w:tcW w:w="10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31573F">
            <w:pPr>
              <w:spacing w:before="0" w:beforeLines="0"/>
              <w:ind w:firstLine="0" w:firstLineChars="0"/>
              <w:jc w:val="center"/>
              <w:rPr>
                <w:rFonts w:hint="eastAsia"/>
                <w:color w:val="000000"/>
                <w:sz w:val="18"/>
                <w:szCs w:val="18"/>
              </w:rPr>
            </w:pPr>
            <w:r>
              <w:rPr>
                <w:rFonts w:hint="eastAsia"/>
                <w:color w:val="000000"/>
                <w:sz w:val="18"/>
                <w:szCs w:val="18"/>
              </w:rPr>
              <w:t>0.1</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F0F619">
            <w:pPr>
              <w:spacing w:before="0" w:beforeLines="0"/>
              <w:ind w:firstLine="0" w:firstLineChars="0"/>
              <w:jc w:val="center"/>
              <w:rPr>
                <w:rFonts w:hint="eastAsia"/>
                <w:color w:val="000000"/>
                <w:sz w:val="18"/>
                <w:szCs w:val="18"/>
              </w:rPr>
            </w:pPr>
            <w:r>
              <w:rPr>
                <w:rFonts w:hint="eastAsia"/>
                <w:color w:val="000000"/>
                <w:sz w:val="18"/>
                <w:szCs w:val="18"/>
              </w:rPr>
              <w:t>0.1</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5EE7BE">
            <w:pPr>
              <w:spacing w:before="0" w:beforeLines="0"/>
              <w:ind w:firstLine="0" w:firstLineChars="0"/>
              <w:jc w:val="center"/>
              <w:rPr>
                <w:rFonts w:hint="eastAsia"/>
                <w:color w:val="000000"/>
                <w:sz w:val="18"/>
                <w:szCs w:val="18"/>
              </w:rPr>
            </w:pPr>
            <w:r>
              <w:rPr>
                <w:rFonts w:hint="eastAsia"/>
                <w:color w:val="000000"/>
                <w:sz w:val="18"/>
                <w:szCs w:val="18"/>
              </w:rPr>
              <w:t>0.1</w:t>
            </w:r>
          </w:p>
        </w:tc>
      </w:tr>
      <w:tr w14:paraId="5D2A1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3" w:type="pct"/>
            <w:vMerge w:val="continue"/>
            <w:tcBorders>
              <w:left w:val="single" w:color="000000" w:sz="4" w:space="0"/>
              <w:right w:val="single" w:color="000000" w:sz="4" w:space="0"/>
            </w:tcBorders>
            <w:shd w:val="clear" w:color="auto" w:fill="FFFFFF"/>
            <w:vAlign w:val="center"/>
          </w:tcPr>
          <w:p w14:paraId="4A34A483">
            <w:pPr>
              <w:spacing w:before="0" w:beforeLines="0"/>
              <w:ind w:firstLine="360"/>
              <w:jc w:val="center"/>
              <w:rPr>
                <w:rFonts w:hint="eastAsia"/>
                <w:color w:val="000000"/>
                <w:sz w:val="18"/>
                <w:szCs w:val="18"/>
              </w:rPr>
            </w:pPr>
          </w:p>
        </w:tc>
        <w:tc>
          <w:tcPr>
            <w:tcW w:w="997" w:type="pct"/>
            <w:tcBorders>
              <w:top w:val="single" w:color="000000" w:sz="4" w:space="0"/>
              <w:left w:val="single" w:color="000000" w:sz="4" w:space="0"/>
              <w:bottom w:val="single" w:color="000000" w:sz="4" w:space="0"/>
              <w:right w:val="single" w:color="000000" w:sz="4" w:space="0"/>
            </w:tcBorders>
            <w:shd w:val="clear" w:color="auto" w:fill="FFFFFF"/>
          </w:tcPr>
          <w:p w14:paraId="65838C98">
            <w:pPr>
              <w:spacing w:before="0" w:beforeLines="0"/>
              <w:ind w:firstLine="0" w:firstLineChars="0"/>
              <w:jc w:val="center"/>
              <w:rPr>
                <w:rFonts w:hint="eastAsia"/>
                <w:color w:val="000000"/>
                <w:sz w:val="18"/>
                <w:szCs w:val="18"/>
              </w:rPr>
            </w:pPr>
            <w:r>
              <w:rPr>
                <w:rFonts w:hint="eastAsia" w:cs="黑体"/>
                <w:color w:val="000000"/>
                <w:sz w:val="18"/>
                <w:szCs w:val="18"/>
                <w:lang w:bidi="ar"/>
              </w:rPr>
              <w:t>生态保护</w:t>
            </w:r>
          </w:p>
        </w:tc>
        <w:tc>
          <w:tcPr>
            <w:tcW w:w="10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0BE192">
            <w:pPr>
              <w:spacing w:before="0" w:beforeLines="0"/>
              <w:ind w:firstLine="0" w:firstLineChars="0"/>
              <w:jc w:val="center"/>
              <w:rPr>
                <w:rFonts w:hint="eastAsia"/>
                <w:color w:val="000000"/>
                <w:sz w:val="18"/>
                <w:szCs w:val="18"/>
              </w:rPr>
            </w:pPr>
            <w:r>
              <w:rPr>
                <w:rFonts w:hint="eastAsia"/>
                <w:color w:val="000000"/>
                <w:sz w:val="18"/>
                <w:szCs w:val="18"/>
              </w:rPr>
              <w:t>0.1</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7DD522">
            <w:pPr>
              <w:spacing w:before="0" w:beforeLines="0"/>
              <w:ind w:firstLine="0" w:firstLineChars="0"/>
              <w:jc w:val="center"/>
              <w:rPr>
                <w:rFonts w:hint="eastAsia"/>
                <w:color w:val="000000"/>
                <w:sz w:val="18"/>
                <w:szCs w:val="18"/>
              </w:rPr>
            </w:pPr>
            <w:r>
              <w:rPr>
                <w:rFonts w:hint="eastAsia"/>
                <w:color w:val="000000"/>
                <w:sz w:val="18"/>
                <w:szCs w:val="18"/>
              </w:rPr>
              <w:t>0.1</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CD0EAB">
            <w:pPr>
              <w:spacing w:before="0" w:beforeLines="0"/>
              <w:ind w:firstLine="0" w:firstLineChars="0"/>
              <w:jc w:val="center"/>
              <w:rPr>
                <w:rFonts w:hint="eastAsia"/>
                <w:color w:val="000000"/>
                <w:sz w:val="18"/>
                <w:szCs w:val="18"/>
              </w:rPr>
            </w:pPr>
            <w:r>
              <w:rPr>
                <w:rFonts w:hint="eastAsia"/>
                <w:color w:val="000000"/>
                <w:sz w:val="18"/>
                <w:szCs w:val="18"/>
              </w:rPr>
              <w:t>0.1</w:t>
            </w:r>
          </w:p>
        </w:tc>
      </w:tr>
      <w:tr w14:paraId="3A19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923" w:type="pct"/>
            <w:vMerge w:val="continue"/>
            <w:tcBorders>
              <w:left w:val="single" w:color="000000" w:sz="4" w:space="0"/>
              <w:bottom w:val="single" w:color="000000" w:sz="4" w:space="0"/>
              <w:right w:val="single" w:color="000000" w:sz="4" w:space="0"/>
            </w:tcBorders>
            <w:shd w:val="clear" w:color="auto" w:fill="FFFFFF"/>
            <w:vAlign w:val="center"/>
          </w:tcPr>
          <w:p w14:paraId="35AC08E9">
            <w:pPr>
              <w:spacing w:before="0" w:beforeLines="0"/>
              <w:ind w:firstLine="360"/>
              <w:jc w:val="center"/>
              <w:rPr>
                <w:rFonts w:hint="eastAsia"/>
                <w:color w:val="000000"/>
                <w:sz w:val="18"/>
                <w:szCs w:val="18"/>
              </w:rPr>
            </w:pPr>
          </w:p>
        </w:tc>
        <w:tc>
          <w:tcPr>
            <w:tcW w:w="997" w:type="pct"/>
            <w:tcBorders>
              <w:top w:val="single" w:color="000000" w:sz="4" w:space="0"/>
              <w:left w:val="single" w:color="000000" w:sz="4" w:space="0"/>
              <w:bottom w:val="single" w:color="000000" w:sz="4" w:space="0"/>
              <w:right w:val="single" w:color="000000" w:sz="4" w:space="0"/>
            </w:tcBorders>
            <w:shd w:val="clear" w:color="auto" w:fill="FFFFFF"/>
          </w:tcPr>
          <w:p w14:paraId="06A95FBA">
            <w:pPr>
              <w:spacing w:before="0" w:beforeLines="0"/>
              <w:ind w:firstLine="0" w:firstLineChars="0"/>
              <w:jc w:val="center"/>
              <w:rPr>
                <w:rFonts w:hint="eastAsia"/>
                <w:color w:val="000000"/>
                <w:sz w:val="18"/>
                <w:szCs w:val="18"/>
              </w:rPr>
            </w:pPr>
            <w:r>
              <w:rPr>
                <w:rFonts w:hint="eastAsia" w:cs="黑体"/>
                <w:color w:val="000000"/>
                <w:sz w:val="18"/>
                <w:szCs w:val="18"/>
                <w:lang w:bidi="ar"/>
              </w:rPr>
              <w:t>生态修复</w:t>
            </w:r>
          </w:p>
        </w:tc>
        <w:tc>
          <w:tcPr>
            <w:tcW w:w="10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ABED7B">
            <w:pPr>
              <w:spacing w:before="0" w:beforeLines="0"/>
              <w:ind w:firstLine="0" w:firstLineChars="0"/>
              <w:jc w:val="center"/>
              <w:rPr>
                <w:rFonts w:hint="eastAsia"/>
                <w:color w:val="000000"/>
                <w:sz w:val="18"/>
                <w:szCs w:val="18"/>
              </w:rPr>
            </w:pPr>
            <w:r>
              <w:rPr>
                <w:rFonts w:hint="eastAsia"/>
                <w:color w:val="000000"/>
                <w:sz w:val="18"/>
                <w:szCs w:val="18"/>
              </w:rPr>
              <w:t>0.1</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A63081">
            <w:pPr>
              <w:spacing w:before="0" w:beforeLines="0"/>
              <w:ind w:firstLine="0" w:firstLineChars="0"/>
              <w:jc w:val="center"/>
              <w:rPr>
                <w:rFonts w:hint="eastAsia"/>
                <w:color w:val="000000"/>
                <w:sz w:val="18"/>
                <w:szCs w:val="18"/>
              </w:rPr>
            </w:pPr>
            <w:r>
              <w:rPr>
                <w:rFonts w:hint="eastAsia"/>
                <w:color w:val="000000"/>
                <w:sz w:val="18"/>
                <w:szCs w:val="18"/>
              </w:rPr>
              <w:t>0.2</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B56944">
            <w:pPr>
              <w:spacing w:before="0" w:beforeLines="0"/>
              <w:ind w:firstLine="0" w:firstLineChars="0"/>
              <w:jc w:val="center"/>
              <w:rPr>
                <w:rFonts w:hint="eastAsia"/>
                <w:color w:val="000000"/>
                <w:sz w:val="18"/>
                <w:szCs w:val="18"/>
              </w:rPr>
            </w:pPr>
            <w:r>
              <w:rPr>
                <w:rFonts w:hint="eastAsia"/>
                <w:color w:val="000000"/>
                <w:sz w:val="18"/>
                <w:szCs w:val="18"/>
              </w:rPr>
              <w:t>0.2</w:t>
            </w:r>
          </w:p>
        </w:tc>
      </w:tr>
      <w:tr w14:paraId="1331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923" w:type="pct"/>
            <w:vMerge w:val="restart"/>
            <w:tcBorders>
              <w:top w:val="single" w:color="000000" w:sz="4" w:space="0"/>
              <w:left w:val="single" w:color="000000" w:sz="4" w:space="0"/>
              <w:right w:val="single" w:color="000000" w:sz="4" w:space="0"/>
            </w:tcBorders>
            <w:shd w:val="clear" w:color="auto" w:fill="FFFFFF"/>
            <w:vAlign w:val="center"/>
          </w:tcPr>
          <w:p w14:paraId="0F2A3093">
            <w:pPr>
              <w:spacing w:before="0" w:beforeLines="0"/>
              <w:ind w:firstLine="0" w:firstLineChars="0"/>
              <w:jc w:val="center"/>
              <w:rPr>
                <w:rFonts w:hint="eastAsia"/>
                <w:color w:val="000000"/>
                <w:sz w:val="18"/>
                <w:szCs w:val="18"/>
              </w:rPr>
            </w:pPr>
            <w:r>
              <w:rPr>
                <w:rFonts w:hint="eastAsia" w:cs="黑体"/>
                <w:color w:val="000000"/>
                <w:sz w:val="18"/>
                <w:szCs w:val="18"/>
                <w:lang w:bidi="ar"/>
              </w:rPr>
              <w:t>生态效果类</w:t>
            </w:r>
          </w:p>
        </w:tc>
        <w:tc>
          <w:tcPr>
            <w:tcW w:w="997" w:type="pct"/>
            <w:tcBorders>
              <w:top w:val="single" w:color="000000" w:sz="4" w:space="0"/>
              <w:left w:val="single" w:color="000000" w:sz="4" w:space="0"/>
              <w:bottom w:val="single" w:color="000000" w:sz="4" w:space="0"/>
              <w:right w:val="single" w:color="000000" w:sz="4" w:space="0"/>
            </w:tcBorders>
            <w:shd w:val="clear" w:color="auto" w:fill="FFFFFF"/>
          </w:tcPr>
          <w:p w14:paraId="5955D219">
            <w:pPr>
              <w:spacing w:before="0" w:beforeLines="0"/>
              <w:ind w:firstLine="0" w:firstLineChars="0"/>
              <w:jc w:val="center"/>
              <w:rPr>
                <w:rFonts w:hint="eastAsia"/>
                <w:color w:val="000000"/>
                <w:sz w:val="18"/>
                <w:szCs w:val="18"/>
              </w:rPr>
            </w:pPr>
            <w:r>
              <w:rPr>
                <w:rFonts w:hint="eastAsia" w:cs="黑体"/>
                <w:color w:val="000000"/>
                <w:sz w:val="18"/>
                <w:szCs w:val="18"/>
                <w:lang w:bidi="ar"/>
              </w:rPr>
              <w:t>生态系统服务</w:t>
            </w:r>
          </w:p>
        </w:tc>
        <w:tc>
          <w:tcPr>
            <w:tcW w:w="10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35FE3D">
            <w:pPr>
              <w:spacing w:before="0" w:beforeLines="0"/>
              <w:ind w:firstLine="0" w:firstLineChars="0"/>
              <w:jc w:val="center"/>
              <w:rPr>
                <w:rFonts w:hint="eastAsia"/>
                <w:color w:val="000000"/>
                <w:sz w:val="18"/>
                <w:szCs w:val="18"/>
              </w:rPr>
            </w:pPr>
            <w:r>
              <w:rPr>
                <w:rFonts w:hint="eastAsia"/>
                <w:color w:val="000000"/>
                <w:sz w:val="18"/>
                <w:szCs w:val="18"/>
              </w:rPr>
              <w:t>0.2</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4E1286">
            <w:pPr>
              <w:spacing w:before="0" w:beforeLines="0"/>
              <w:ind w:firstLine="0" w:firstLineChars="0"/>
              <w:jc w:val="center"/>
              <w:rPr>
                <w:rFonts w:hint="eastAsia"/>
                <w:color w:val="000000"/>
                <w:sz w:val="18"/>
                <w:szCs w:val="18"/>
              </w:rPr>
            </w:pPr>
            <w:r>
              <w:rPr>
                <w:rFonts w:hint="eastAsia"/>
                <w:color w:val="000000"/>
                <w:sz w:val="18"/>
                <w:szCs w:val="18"/>
              </w:rPr>
              <w:t>0.2</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D019D1">
            <w:pPr>
              <w:spacing w:before="0" w:beforeLines="0"/>
              <w:ind w:firstLine="0" w:firstLineChars="0"/>
              <w:jc w:val="center"/>
              <w:rPr>
                <w:rFonts w:hint="eastAsia"/>
                <w:color w:val="000000"/>
                <w:sz w:val="18"/>
                <w:szCs w:val="18"/>
              </w:rPr>
            </w:pPr>
            <w:r>
              <w:rPr>
                <w:rFonts w:hint="eastAsia"/>
                <w:color w:val="000000"/>
                <w:sz w:val="18"/>
                <w:szCs w:val="18"/>
              </w:rPr>
              <w:t>0.2</w:t>
            </w:r>
          </w:p>
        </w:tc>
      </w:tr>
      <w:tr w14:paraId="3E68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923" w:type="pct"/>
            <w:vMerge w:val="continue"/>
            <w:tcBorders>
              <w:left w:val="single" w:color="000000" w:sz="4" w:space="0"/>
              <w:bottom w:val="single" w:color="000000" w:sz="4" w:space="0"/>
              <w:right w:val="single" w:color="000000" w:sz="4" w:space="0"/>
            </w:tcBorders>
            <w:shd w:val="clear" w:color="auto" w:fill="FFFFFF"/>
            <w:vAlign w:val="center"/>
          </w:tcPr>
          <w:p w14:paraId="7215F608">
            <w:pPr>
              <w:spacing w:before="0" w:beforeLines="0"/>
              <w:ind w:firstLine="360"/>
              <w:jc w:val="center"/>
              <w:rPr>
                <w:rFonts w:hint="eastAsia"/>
                <w:color w:val="000000"/>
                <w:sz w:val="18"/>
                <w:szCs w:val="18"/>
              </w:rPr>
            </w:pPr>
          </w:p>
        </w:tc>
        <w:tc>
          <w:tcPr>
            <w:tcW w:w="997" w:type="pct"/>
            <w:tcBorders>
              <w:top w:val="single" w:color="000000" w:sz="4" w:space="0"/>
              <w:left w:val="single" w:color="000000" w:sz="4" w:space="0"/>
              <w:bottom w:val="single" w:color="000000" w:sz="4" w:space="0"/>
              <w:right w:val="single" w:color="000000" w:sz="4" w:space="0"/>
            </w:tcBorders>
            <w:shd w:val="clear" w:color="auto" w:fill="FFFFFF"/>
          </w:tcPr>
          <w:p w14:paraId="10E4EE34">
            <w:pPr>
              <w:spacing w:before="0" w:beforeLines="0"/>
              <w:ind w:firstLine="0" w:firstLineChars="0"/>
              <w:jc w:val="center"/>
              <w:rPr>
                <w:rFonts w:hint="eastAsia"/>
                <w:color w:val="000000"/>
                <w:sz w:val="18"/>
                <w:szCs w:val="18"/>
              </w:rPr>
            </w:pPr>
            <w:r>
              <w:rPr>
                <w:rFonts w:hint="eastAsia" w:cs="黑体"/>
                <w:color w:val="000000"/>
                <w:sz w:val="18"/>
                <w:szCs w:val="18"/>
                <w:lang w:bidi="ar"/>
              </w:rPr>
              <w:t>景观格局</w:t>
            </w:r>
          </w:p>
        </w:tc>
        <w:tc>
          <w:tcPr>
            <w:tcW w:w="10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B6EB88">
            <w:pPr>
              <w:spacing w:before="0" w:beforeLines="0"/>
              <w:ind w:firstLine="0" w:firstLineChars="0"/>
              <w:jc w:val="center"/>
              <w:rPr>
                <w:rFonts w:hint="eastAsia"/>
                <w:color w:val="000000"/>
                <w:sz w:val="18"/>
                <w:szCs w:val="18"/>
              </w:rPr>
            </w:pPr>
            <w:r>
              <w:rPr>
                <w:rFonts w:hint="eastAsia"/>
                <w:color w:val="000000"/>
                <w:sz w:val="18"/>
                <w:szCs w:val="18"/>
              </w:rPr>
              <w:t>0.2</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6D7ECE">
            <w:pPr>
              <w:spacing w:before="0" w:beforeLines="0"/>
              <w:ind w:firstLine="0" w:firstLineChars="0"/>
              <w:jc w:val="center"/>
              <w:rPr>
                <w:rFonts w:hint="eastAsia"/>
                <w:color w:val="000000"/>
                <w:sz w:val="18"/>
                <w:szCs w:val="18"/>
              </w:rPr>
            </w:pPr>
            <w:r>
              <w:rPr>
                <w:rFonts w:hint="eastAsia"/>
                <w:color w:val="000000"/>
                <w:sz w:val="18"/>
                <w:szCs w:val="18"/>
              </w:rPr>
              <w:t>0.1</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14DA46">
            <w:pPr>
              <w:spacing w:before="0" w:beforeLines="0"/>
              <w:ind w:firstLine="0" w:firstLineChars="0"/>
              <w:jc w:val="center"/>
              <w:rPr>
                <w:rFonts w:hint="eastAsia"/>
                <w:color w:val="000000"/>
                <w:sz w:val="18"/>
                <w:szCs w:val="18"/>
              </w:rPr>
            </w:pPr>
            <w:r>
              <w:rPr>
                <w:rFonts w:hint="eastAsia"/>
                <w:color w:val="000000"/>
                <w:sz w:val="18"/>
                <w:szCs w:val="18"/>
              </w:rPr>
              <w:t>0.1</w:t>
            </w:r>
          </w:p>
        </w:tc>
      </w:tr>
      <w:tr w14:paraId="3701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923" w:type="pct"/>
            <w:vMerge w:val="restart"/>
            <w:tcBorders>
              <w:top w:val="single" w:color="000000" w:sz="4" w:space="0"/>
              <w:left w:val="single" w:color="000000" w:sz="4" w:space="0"/>
              <w:right w:val="single" w:color="000000" w:sz="4" w:space="0"/>
            </w:tcBorders>
            <w:shd w:val="clear" w:color="auto" w:fill="FFFFFF"/>
            <w:vAlign w:val="center"/>
          </w:tcPr>
          <w:p w14:paraId="0F323A2A">
            <w:pPr>
              <w:spacing w:before="0" w:beforeLines="0"/>
              <w:ind w:firstLine="0" w:firstLineChars="0"/>
              <w:jc w:val="center"/>
              <w:rPr>
                <w:rFonts w:hint="eastAsia"/>
                <w:color w:val="000000"/>
                <w:sz w:val="18"/>
                <w:szCs w:val="18"/>
              </w:rPr>
            </w:pPr>
            <w:r>
              <w:rPr>
                <w:rFonts w:hint="eastAsia" w:cs="黑体"/>
                <w:color w:val="000000"/>
                <w:sz w:val="18"/>
                <w:szCs w:val="18"/>
                <w:lang w:bidi="ar"/>
              </w:rPr>
              <w:t>经济社会类</w:t>
            </w:r>
          </w:p>
        </w:tc>
        <w:tc>
          <w:tcPr>
            <w:tcW w:w="997" w:type="pct"/>
            <w:tcBorders>
              <w:top w:val="single" w:color="000000" w:sz="4" w:space="0"/>
              <w:left w:val="single" w:color="000000" w:sz="4" w:space="0"/>
              <w:bottom w:val="single" w:color="000000" w:sz="4" w:space="0"/>
              <w:right w:val="single" w:color="000000" w:sz="4" w:space="0"/>
            </w:tcBorders>
            <w:shd w:val="clear" w:color="auto" w:fill="FFFFFF"/>
          </w:tcPr>
          <w:p w14:paraId="1B8C3900">
            <w:pPr>
              <w:spacing w:before="0" w:beforeLines="0"/>
              <w:ind w:firstLine="0" w:firstLineChars="0"/>
              <w:jc w:val="center"/>
              <w:rPr>
                <w:rFonts w:hint="eastAsia"/>
                <w:color w:val="000000"/>
                <w:sz w:val="18"/>
                <w:szCs w:val="18"/>
              </w:rPr>
            </w:pPr>
            <w:r>
              <w:rPr>
                <w:rFonts w:hint="eastAsia" w:cs="黑体"/>
                <w:color w:val="000000"/>
                <w:sz w:val="18"/>
                <w:szCs w:val="18"/>
                <w:lang w:bidi="ar"/>
              </w:rPr>
              <w:t>社会效果类</w:t>
            </w:r>
          </w:p>
        </w:tc>
        <w:tc>
          <w:tcPr>
            <w:tcW w:w="10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34B8A8">
            <w:pPr>
              <w:spacing w:before="0" w:beforeLines="0"/>
              <w:ind w:firstLine="0" w:firstLineChars="0"/>
              <w:jc w:val="center"/>
              <w:rPr>
                <w:rFonts w:hint="eastAsia"/>
                <w:color w:val="000000"/>
                <w:sz w:val="18"/>
                <w:szCs w:val="18"/>
              </w:rPr>
            </w:pPr>
            <w:r>
              <w:rPr>
                <w:rFonts w:hint="eastAsia"/>
                <w:color w:val="000000"/>
                <w:sz w:val="18"/>
                <w:szCs w:val="18"/>
              </w:rPr>
              <w:t>0.2</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AD95C6">
            <w:pPr>
              <w:spacing w:before="0" w:beforeLines="0"/>
              <w:ind w:firstLine="0" w:firstLineChars="0"/>
              <w:jc w:val="center"/>
              <w:rPr>
                <w:rFonts w:hint="eastAsia"/>
                <w:color w:val="000000"/>
                <w:sz w:val="18"/>
                <w:szCs w:val="18"/>
              </w:rPr>
            </w:pPr>
            <w:r>
              <w:rPr>
                <w:rFonts w:hint="eastAsia"/>
                <w:color w:val="000000"/>
                <w:sz w:val="18"/>
                <w:szCs w:val="18"/>
              </w:rPr>
              <w:t>0.2</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C25E94">
            <w:pPr>
              <w:spacing w:before="0" w:beforeLines="0"/>
              <w:ind w:firstLine="0" w:firstLineChars="0"/>
              <w:jc w:val="center"/>
              <w:rPr>
                <w:rFonts w:hint="eastAsia"/>
                <w:color w:val="000000"/>
                <w:sz w:val="18"/>
                <w:szCs w:val="18"/>
              </w:rPr>
            </w:pPr>
            <w:r>
              <w:rPr>
                <w:rFonts w:hint="eastAsia"/>
                <w:color w:val="000000"/>
                <w:sz w:val="18"/>
                <w:szCs w:val="18"/>
              </w:rPr>
              <w:t>0.1</w:t>
            </w:r>
          </w:p>
        </w:tc>
      </w:tr>
      <w:tr w14:paraId="1DEE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923" w:type="pct"/>
            <w:vMerge w:val="continue"/>
            <w:tcBorders>
              <w:left w:val="single" w:color="000000" w:sz="4" w:space="0"/>
              <w:bottom w:val="single" w:color="000000" w:sz="4" w:space="0"/>
              <w:right w:val="single" w:color="000000" w:sz="4" w:space="0"/>
            </w:tcBorders>
            <w:shd w:val="clear" w:color="auto" w:fill="FFFFFF"/>
          </w:tcPr>
          <w:p w14:paraId="0EB8157F">
            <w:pPr>
              <w:spacing w:before="0" w:beforeLines="0"/>
              <w:ind w:firstLine="360"/>
              <w:jc w:val="center"/>
              <w:rPr>
                <w:rFonts w:hint="eastAsia"/>
                <w:color w:val="000000"/>
                <w:sz w:val="18"/>
                <w:szCs w:val="18"/>
              </w:rPr>
            </w:pPr>
          </w:p>
        </w:tc>
        <w:tc>
          <w:tcPr>
            <w:tcW w:w="997" w:type="pct"/>
            <w:tcBorders>
              <w:top w:val="single" w:color="000000" w:sz="4" w:space="0"/>
              <w:left w:val="single" w:color="000000" w:sz="4" w:space="0"/>
              <w:bottom w:val="single" w:color="000000" w:sz="4" w:space="0"/>
              <w:right w:val="single" w:color="000000" w:sz="4" w:space="0"/>
            </w:tcBorders>
            <w:shd w:val="clear" w:color="auto" w:fill="FFFFFF"/>
          </w:tcPr>
          <w:p w14:paraId="129CD1BD">
            <w:pPr>
              <w:spacing w:before="0" w:beforeLines="0"/>
              <w:ind w:firstLine="0" w:firstLineChars="0"/>
              <w:jc w:val="center"/>
              <w:rPr>
                <w:rFonts w:hint="eastAsia"/>
                <w:color w:val="000000"/>
                <w:sz w:val="18"/>
                <w:szCs w:val="18"/>
              </w:rPr>
            </w:pPr>
            <w:r>
              <w:rPr>
                <w:rFonts w:hint="eastAsia" w:cs="黑体"/>
                <w:color w:val="000000"/>
                <w:sz w:val="18"/>
                <w:szCs w:val="18"/>
                <w:lang w:bidi="ar"/>
              </w:rPr>
              <w:t>经济效果类</w:t>
            </w:r>
          </w:p>
        </w:tc>
        <w:tc>
          <w:tcPr>
            <w:tcW w:w="10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3B3F19">
            <w:pPr>
              <w:spacing w:before="0" w:beforeLines="0"/>
              <w:ind w:firstLine="0" w:firstLineChars="0"/>
              <w:jc w:val="center"/>
              <w:rPr>
                <w:rFonts w:hint="eastAsia"/>
                <w:color w:val="000000"/>
                <w:sz w:val="18"/>
                <w:szCs w:val="18"/>
              </w:rPr>
            </w:pPr>
            <w:r>
              <w:rPr>
                <w:rFonts w:hint="eastAsia"/>
                <w:color w:val="000000"/>
                <w:sz w:val="18"/>
                <w:szCs w:val="18"/>
              </w:rPr>
              <w:t>0.1</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DC50B7">
            <w:pPr>
              <w:spacing w:before="0" w:beforeLines="0"/>
              <w:ind w:firstLine="0" w:firstLineChars="0"/>
              <w:jc w:val="center"/>
              <w:rPr>
                <w:rFonts w:hint="eastAsia"/>
                <w:color w:val="000000"/>
                <w:sz w:val="18"/>
                <w:szCs w:val="18"/>
              </w:rPr>
            </w:pPr>
            <w:r>
              <w:rPr>
                <w:rFonts w:hint="eastAsia"/>
                <w:color w:val="000000"/>
                <w:sz w:val="18"/>
                <w:szCs w:val="18"/>
              </w:rPr>
              <w:t>0.1</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69E295">
            <w:pPr>
              <w:spacing w:before="0" w:beforeLines="0"/>
              <w:ind w:firstLine="0" w:firstLineChars="0"/>
              <w:jc w:val="center"/>
              <w:rPr>
                <w:rFonts w:hint="eastAsia"/>
                <w:color w:val="000000"/>
                <w:sz w:val="18"/>
                <w:szCs w:val="18"/>
              </w:rPr>
            </w:pPr>
            <w:r>
              <w:rPr>
                <w:rFonts w:hint="eastAsia"/>
                <w:color w:val="000000"/>
                <w:sz w:val="18"/>
                <w:szCs w:val="18"/>
              </w:rPr>
              <w:t>0.2</w:t>
            </w:r>
          </w:p>
        </w:tc>
      </w:tr>
    </w:tbl>
    <w:p w14:paraId="4B95D913">
      <w:pPr>
        <w:pStyle w:val="57"/>
        <w:numPr>
          <w:ilvl w:val="1"/>
          <w:numId w:val="7"/>
        </w:numPr>
        <w:adjustRightInd/>
        <w:snapToGrid/>
        <w:spacing w:before="120" w:after="120" w:afterLines="50"/>
        <w:jc w:val="left"/>
        <w:outlineLvl w:val="2"/>
        <w:rPr>
          <w:rFonts w:hint="eastAsia" w:ascii="黑体" w:hAnsi="黑体" w:eastAsia="黑体" w:cs="黑体"/>
          <w:lang w:bidi="ar"/>
        </w:rPr>
      </w:pPr>
      <w:bookmarkStart w:id="333" w:name="_Toc21845"/>
      <w:bookmarkStart w:id="334" w:name="_Toc31898"/>
      <w:bookmarkStart w:id="335" w:name="_Toc9809"/>
      <w:bookmarkStart w:id="336" w:name="_Toc31341"/>
      <w:bookmarkStart w:id="337" w:name="_Toc9326"/>
      <w:bookmarkStart w:id="338" w:name="_Toc10017"/>
      <w:bookmarkStart w:id="339" w:name="_Toc30686"/>
      <w:bookmarkStart w:id="340" w:name="_Toc2367"/>
      <w:bookmarkStart w:id="341" w:name="OLE_LINK67"/>
      <w:r>
        <w:rPr>
          <w:rFonts w:hint="eastAsia" w:ascii="黑体" w:hAnsi="黑体" w:eastAsia="黑体" w:cs="黑体"/>
          <w:lang w:bidi="ar"/>
        </w:rPr>
        <w:t>评估结果与分级</w:t>
      </w:r>
      <w:bookmarkEnd w:id="333"/>
      <w:bookmarkEnd w:id="334"/>
      <w:bookmarkEnd w:id="335"/>
      <w:bookmarkEnd w:id="336"/>
      <w:bookmarkEnd w:id="337"/>
      <w:bookmarkEnd w:id="338"/>
      <w:bookmarkEnd w:id="339"/>
      <w:bookmarkEnd w:id="340"/>
    </w:p>
    <w:p w14:paraId="748E6372">
      <w:pPr>
        <w:pStyle w:val="56"/>
        <w:numPr>
          <w:ilvl w:val="2"/>
          <w:numId w:val="7"/>
        </w:numPr>
        <w:spacing w:before="120" w:beforeLines="0" w:after="120" w:afterLines="50"/>
        <w:jc w:val="left"/>
        <w:outlineLvl w:val="3"/>
        <w:rPr>
          <w:rFonts w:hint="eastAsia"/>
          <w:lang w:bidi="ar"/>
        </w:rPr>
      </w:pPr>
      <w:bookmarkStart w:id="342" w:name="_Toc4498"/>
      <w:bookmarkStart w:id="343" w:name="_Toc31251"/>
      <w:r>
        <w:rPr>
          <w:rFonts w:hint="eastAsia"/>
          <w:lang w:bidi="ar"/>
        </w:rPr>
        <w:t>指标评估结果与分级</w:t>
      </w:r>
      <w:bookmarkEnd w:id="342"/>
      <w:bookmarkEnd w:id="343"/>
    </w:p>
    <w:p w14:paraId="79F86842">
      <w:pPr>
        <w:spacing w:before="0" w:beforeLines="0"/>
        <w:ind w:firstLine="420"/>
        <w:rPr>
          <w:rFonts w:hint="eastAsia" w:cs="宋体"/>
        </w:rPr>
      </w:pPr>
      <w:r>
        <w:rPr>
          <w:rFonts w:hint="eastAsia" w:cs="宋体"/>
        </w:rPr>
        <w:t>不同指标按照对应的评估方法确定其评估结果，将其分为合格、不合格，其中当规划评估期优于规划评估目标值或基期值，记为合格；反之则记为不合格。详见附录B.2</w:t>
      </w:r>
      <w:r>
        <w:rPr>
          <w:rFonts w:hint="eastAsia" w:cs="宋体"/>
          <w:lang w:eastAsia="zh-CN"/>
        </w:rPr>
        <w:t>、</w:t>
      </w:r>
      <w:r>
        <w:rPr>
          <w:rFonts w:hint="eastAsia" w:cs="宋体"/>
        </w:rPr>
        <w:t>C.1。</w:t>
      </w:r>
    </w:p>
    <w:p w14:paraId="4278BAC8">
      <w:pPr>
        <w:pStyle w:val="56"/>
        <w:numPr>
          <w:ilvl w:val="2"/>
          <w:numId w:val="7"/>
        </w:numPr>
        <w:spacing w:before="120" w:beforeLines="0" w:after="120" w:afterLines="50"/>
        <w:jc w:val="left"/>
        <w:outlineLvl w:val="3"/>
        <w:rPr>
          <w:rFonts w:hint="eastAsia"/>
          <w:lang w:bidi="ar"/>
        </w:rPr>
      </w:pPr>
      <w:bookmarkStart w:id="344" w:name="_Toc21652"/>
      <w:bookmarkStart w:id="345" w:name="_Toc8550"/>
      <w:r>
        <w:rPr>
          <w:rFonts w:hint="eastAsia"/>
          <w:lang w:bidi="ar"/>
        </w:rPr>
        <w:t>综合评估</w:t>
      </w:r>
      <w:bookmarkEnd w:id="344"/>
      <w:bookmarkEnd w:id="345"/>
    </w:p>
    <w:p w14:paraId="48D4A800">
      <w:pPr>
        <w:pStyle w:val="56"/>
        <w:numPr>
          <w:ilvl w:val="3"/>
          <w:numId w:val="7"/>
        </w:numPr>
        <w:spacing w:before="120" w:after="120" w:afterLines="50"/>
        <w:jc w:val="left"/>
        <w:outlineLvl w:val="4"/>
        <w:rPr>
          <w:rFonts w:hint="eastAsia"/>
          <w:lang w:bidi="ar"/>
        </w:rPr>
      </w:pPr>
      <w:r>
        <w:rPr>
          <w:rFonts w:hint="eastAsia"/>
          <w:lang w:bidi="ar"/>
        </w:rPr>
        <w:t>规划目标完成率</w:t>
      </w:r>
    </w:p>
    <w:p w14:paraId="092009A6">
      <w:pPr>
        <w:spacing w:before="0" w:beforeLines="0"/>
        <w:ind w:firstLine="420"/>
        <w:rPr>
          <w:rFonts w:hint="eastAsia"/>
        </w:rPr>
      </w:pPr>
      <w:r>
        <w:rPr>
          <w:rFonts w:hint="eastAsia" w:cs="宋体"/>
        </w:rPr>
        <w:t>综合考虑生态质量、生态保护、生态修复类指标，指标加权后评估规划目标完成率并分级。评估分级标准详见附</w:t>
      </w:r>
      <w:bookmarkStart w:id="346" w:name="OLE_LINK37"/>
      <w:r>
        <w:rPr>
          <w:rFonts w:hint="eastAsia" w:cs="宋体"/>
        </w:rPr>
        <w:t>录</w:t>
      </w:r>
      <w:bookmarkEnd w:id="346"/>
      <w:r>
        <w:rPr>
          <w:rFonts w:hint="eastAsia" w:cs="宋体"/>
        </w:rPr>
        <w:t>C.2。</w:t>
      </w:r>
    </w:p>
    <w:p w14:paraId="4724CD97">
      <w:pPr>
        <w:pStyle w:val="56"/>
        <w:numPr>
          <w:ilvl w:val="3"/>
          <w:numId w:val="7"/>
        </w:numPr>
        <w:spacing w:before="120" w:after="120" w:afterLines="50"/>
        <w:jc w:val="left"/>
        <w:outlineLvl w:val="4"/>
        <w:rPr>
          <w:rFonts w:hint="eastAsia"/>
          <w:lang w:bidi="ar"/>
        </w:rPr>
      </w:pPr>
      <w:r>
        <w:rPr>
          <w:rFonts w:hint="eastAsia"/>
          <w:lang w:bidi="ar"/>
        </w:rPr>
        <w:t>生态效果提升率</w:t>
      </w:r>
    </w:p>
    <w:p w14:paraId="04CDD28B">
      <w:pPr>
        <w:spacing w:before="0" w:beforeLines="0"/>
        <w:ind w:firstLine="420"/>
        <w:rPr>
          <w:rFonts w:hint="eastAsia" w:cs="宋体"/>
        </w:rPr>
      </w:pPr>
      <w:r>
        <w:rPr>
          <w:rFonts w:hint="eastAsia" w:cs="宋体"/>
        </w:rPr>
        <w:t>综合考虑生态系统服务、景观格局指标，指标加权后评估生态效果提升率并分级。评估分级标准详见附录C.2。</w:t>
      </w:r>
    </w:p>
    <w:p w14:paraId="0053C310">
      <w:pPr>
        <w:pStyle w:val="56"/>
        <w:numPr>
          <w:ilvl w:val="3"/>
          <w:numId w:val="7"/>
        </w:numPr>
        <w:spacing w:before="120" w:after="120" w:afterLines="50"/>
        <w:jc w:val="left"/>
        <w:outlineLvl w:val="4"/>
        <w:rPr>
          <w:rFonts w:hint="eastAsia"/>
          <w:lang w:bidi="ar"/>
        </w:rPr>
      </w:pPr>
      <w:r>
        <w:rPr>
          <w:rFonts w:hint="eastAsia"/>
          <w:lang w:bidi="ar"/>
        </w:rPr>
        <w:t>经济社会效果改善度</w:t>
      </w:r>
    </w:p>
    <w:p w14:paraId="658D3D0D">
      <w:pPr>
        <w:spacing w:before="0" w:beforeLines="0"/>
        <w:ind w:firstLine="420"/>
        <w:rPr>
          <w:rFonts w:hint="eastAsia" w:cs="宋体"/>
          <w:lang w:bidi="ar"/>
        </w:rPr>
      </w:pPr>
      <w:r>
        <w:rPr>
          <w:rFonts w:hint="eastAsia" w:cs="宋体"/>
        </w:rPr>
        <w:t>综合考虑社会效果类、经济效果类指标，指标加权后评估经济社会效果改善度并分级。评估分级标准详见附录C.2。</w:t>
      </w:r>
    </w:p>
    <w:p w14:paraId="136331F1">
      <w:pPr>
        <w:pStyle w:val="56"/>
        <w:numPr>
          <w:ilvl w:val="3"/>
          <w:numId w:val="7"/>
        </w:numPr>
        <w:spacing w:before="120" w:after="120" w:afterLines="50"/>
        <w:jc w:val="left"/>
        <w:outlineLvl w:val="4"/>
        <w:rPr>
          <w:rFonts w:hint="eastAsia"/>
          <w:lang w:bidi="ar"/>
        </w:rPr>
      </w:pPr>
      <w:r>
        <w:rPr>
          <w:rFonts w:hint="eastAsia"/>
          <w:lang w:bidi="ar"/>
        </w:rPr>
        <w:t>综合效果评估</w:t>
      </w:r>
    </w:p>
    <w:p w14:paraId="66F4C11D">
      <w:pPr>
        <w:spacing w:before="0" w:beforeLines="0"/>
        <w:ind w:firstLine="420"/>
        <w:rPr>
          <w:rFonts w:hint="eastAsia" w:cs="宋体"/>
        </w:rPr>
      </w:pPr>
      <w:bookmarkStart w:id="347" w:name="OLE_LINK27"/>
      <w:bookmarkStart w:id="348" w:name="OLE_LINK26"/>
      <w:r>
        <w:rPr>
          <w:rFonts w:hint="eastAsia" w:cs="宋体"/>
        </w:rPr>
        <w:t>根据规划目标完成率、生态效果提升率、经济社会效果改善度三个一级指标加权评分，将规划实施综合成效分为不合格、合格、良好和优秀四个等级。评估分级标准详见附录C.2。</w:t>
      </w:r>
      <w:bookmarkEnd w:id="347"/>
    </w:p>
    <w:bookmarkEnd w:id="348"/>
    <w:p w14:paraId="5B241385">
      <w:pPr>
        <w:pStyle w:val="57"/>
        <w:numPr>
          <w:ilvl w:val="1"/>
          <w:numId w:val="7"/>
        </w:numPr>
        <w:spacing w:before="120" w:after="120" w:afterLines="50"/>
        <w:jc w:val="left"/>
        <w:outlineLvl w:val="2"/>
        <w:rPr>
          <w:rFonts w:hint="eastAsia" w:ascii="黑体" w:hAnsi="黑体" w:eastAsia="黑体" w:cs="黑体"/>
          <w:lang w:bidi="ar"/>
        </w:rPr>
      </w:pPr>
      <w:bookmarkStart w:id="349" w:name="_Toc19135"/>
      <w:bookmarkStart w:id="350" w:name="_Toc13183"/>
      <w:bookmarkStart w:id="351" w:name="_Toc19669"/>
      <w:bookmarkStart w:id="352" w:name="_Toc29260"/>
      <w:bookmarkStart w:id="353" w:name="_Toc26924"/>
      <w:bookmarkStart w:id="354" w:name="_Toc24267"/>
      <w:bookmarkStart w:id="355" w:name="_Toc25675"/>
      <w:bookmarkStart w:id="356" w:name="_Toc13640"/>
      <w:r>
        <w:rPr>
          <w:rFonts w:hint="eastAsia" w:ascii="黑体" w:hAnsi="黑体" w:eastAsia="黑体" w:cs="黑体"/>
          <w:lang w:bidi="ar"/>
        </w:rPr>
        <w:t>评估结果分析</w:t>
      </w:r>
      <w:bookmarkEnd w:id="349"/>
      <w:bookmarkEnd w:id="350"/>
      <w:bookmarkEnd w:id="351"/>
      <w:bookmarkEnd w:id="352"/>
      <w:bookmarkEnd w:id="353"/>
      <w:bookmarkEnd w:id="354"/>
      <w:bookmarkEnd w:id="355"/>
      <w:bookmarkEnd w:id="356"/>
    </w:p>
    <w:p w14:paraId="776729AB">
      <w:pPr>
        <w:spacing w:before="0" w:beforeLines="0"/>
        <w:ind w:firstLine="420"/>
        <w:rPr>
          <w:rFonts w:hint="eastAsia" w:cs="宋体"/>
        </w:rPr>
      </w:pPr>
      <w:r>
        <w:rPr>
          <w:rFonts w:hint="eastAsia" w:cs="宋体"/>
          <w:lang w:bidi="ar"/>
        </w:rPr>
        <w:t>对比分析：基于重大工程、规划目标类、生态效果类和经济社会类指标完成成效，采用时序对比与空间对比相结合的方法，分析对比工程实施进程与指标成效。</w:t>
      </w:r>
      <w:r>
        <w:rPr>
          <w:rFonts w:hint="eastAsia" w:cs="宋体"/>
        </w:rPr>
        <w:t>其中</w:t>
      </w:r>
      <w:r>
        <w:rPr>
          <w:rFonts w:hint="eastAsia" w:cs="宋体"/>
          <w:lang w:bidi="ar"/>
        </w:rPr>
        <w:t>时序对比</w:t>
      </w:r>
      <w:r>
        <w:rPr>
          <w:rFonts w:hint="eastAsia" w:cs="宋体"/>
          <w:lang w:val="en-US" w:eastAsia="zh-CN" w:bidi="ar"/>
        </w:rPr>
        <w:t>分析同一空间对象不同年份的成效，空间对比分析指同期其他空间区域的对比。</w:t>
      </w:r>
      <w:r>
        <w:rPr>
          <w:rFonts w:hint="eastAsia" w:cs="宋体"/>
          <w:lang w:bidi="ar"/>
        </w:rPr>
        <w:t>通过空间自相关分析等方法，系统分析各区域空间分异特征及评价实际成效与规划目标的偏离程度。</w:t>
      </w:r>
      <w:r>
        <w:rPr>
          <w:rFonts w:hint="eastAsia" w:cs="宋体"/>
        </w:rPr>
        <w:t>从</w:t>
      </w:r>
      <w:r>
        <w:rPr>
          <w:rFonts w:hint="eastAsia" w:cs="宋体"/>
          <w:lang w:val="en-US" w:eastAsia="zh-CN"/>
        </w:rPr>
        <w:t>时间和</w:t>
      </w:r>
      <w:r>
        <w:rPr>
          <w:rFonts w:hint="eastAsia" w:cs="宋体"/>
        </w:rPr>
        <w:t>空间尺度出发，比较不同规划单元（如生态修复分区、重大工程区）间的评估结果，识别区域修复成效差异及存在问题。</w:t>
      </w:r>
    </w:p>
    <w:p w14:paraId="3D138E57">
      <w:pPr>
        <w:spacing w:before="0" w:beforeLines="0"/>
        <w:ind w:firstLine="420"/>
        <w:rPr>
          <w:rFonts w:hint="eastAsia" w:cs="宋体"/>
        </w:rPr>
      </w:pPr>
      <w:r>
        <w:rPr>
          <w:rFonts w:hint="eastAsia" w:cs="宋体"/>
          <w:lang w:bidi="ar"/>
        </w:rPr>
        <w:t>结果与建议：结合本期和上一个规划周期指标成效对比分析，明确提出规划修订与实施改进建议，评估结果应用于优化下一个规划实施后期评估指标体系和工作方案，并为相关政策制定提供支撑。</w:t>
      </w:r>
    </w:p>
    <w:bookmarkEnd w:id="261"/>
    <w:bookmarkEnd w:id="262"/>
    <w:bookmarkEnd w:id="263"/>
    <w:bookmarkEnd w:id="264"/>
    <w:bookmarkEnd w:id="265"/>
    <w:bookmarkEnd w:id="266"/>
    <w:bookmarkEnd w:id="267"/>
    <w:bookmarkEnd w:id="314"/>
    <w:bookmarkEnd w:id="341"/>
    <w:p w14:paraId="18AA7426">
      <w:pPr>
        <w:pStyle w:val="56"/>
        <w:numPr>
          <w:ilvl w:val="0"/>
          <w:numId w:val="7"/>
        </w:numPr>
        <w:snapToGrid/>
        <w:spacing w:before="240" w:beforeLines="100" w:after="240" w:afterLines="100"/>
        <w:jc w:val="left"/>
        <w:outlineLvl w:val="1"/>
        <w:rPr>
          <w:rFonts w:hAnsi="Times New Roman" w:cs="Times New Roman"/>
        </w:rPr>
      </w:pPr>
      <w:bookmarkStart w:id="357" w:name="_Toc12538"/>
      <w:bookmarkStart w:id="358" w:name="_Toc8777"/>
      <w:bookmarkStart w:id="359" w:name="_Toc28094"/>
      <w:bookmarkStart w:id="360" w:name="_Toc28282"/>
      <w:bookmarkStart w:id="361" w:name="_Toc19981"/>
      <w:bookmarkStart w:id="362" w:name="OLE_LINK46"/>
      <w:bookmarkStart w:id="363" w:name="_Toc11117"/>
      <w:bookmarkStart w:id="364" w:name="_Toc5434"/>
      <w:bookmarkStart w:id="365" w:name="_Toc16686"/>
      <w:bookmarkStart w:id="366" w:name="_Toc7447"/>
      <w:bookmarkStart w:id="367" w:name="_Toc2663"/>
      <w:bookmarkStart w:id="368" w:name="_Toc14998"/>
      <w:bookmarkStart w:id="369" w:name="_Toc2511"/>
      <w:bookmarkStart w:id="370" w:name="_Toc13060"/>
      <w:bookmarkStart w:id="371" w:name="_Toc24829"/>
      <w:bookmarkStart w:id="372" w:name="_Toc4623"/>
      <w:bookmarkStart w:id="373" w:name="OLE_LINK31"/>
      <w:r>
        <w:rPr>
          <w:rFonts w:hint="eastAsia" w:hAnsi="Times New Roman" w:cs="Times New Roman"/>
        </w:rPr>
        <w:t>报告</w:t>
      </w:r>
      <w:r>
        <w:rPr>
          <w:rFonts w:hint="eastAsia" w:hAnsi="Times New Roman" w:cs="Times New Roman"/>
          <w:lang w:val="en-US" w:eastAsia="zh-CN"/>
        </w:rPr>
        <w:t>编制</w:t>
      </w:r>
      <w:r>
        <w:rPr>
          <w:rFonts w:hint="eastAsia" w:hAnsi="Times New Roman" w:cs="Times New Roman"/>
        </w:rPr>
        <w:t>与成果管理</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bookmarkEnd w:id="373"/>
    <w:p w14:paraId="13CE8F9A">
      <w:pPr>
        <w:pStyle w:val="57"/>
        <w:numPr>
          <w:ilvl w:val="1"/>
          <w:numId w:val="7"/>
        </w:numPr>
        <w:spacing w:before="120" w:after="120" w:afterLines="50"/>
        <w:jc w:val="left"/>
        <w:outlineLvl w:val="2"/>
        <w:rPr>
          <w:rFonts w:hint="eastAsia" w:ascii="黑体" w:hAnsi="黑体" w:eastAsia="黑体" w:cs="黑体"/>
          <w:lang w:bidi="ar"/>
        </w:rPr>
      </w:pPr>
      <w:bookmarkStart w:id="374" w:name="_Toc20424"/>
      <w:bookmarkStart w:id="375" w:name="_Toc4168"/>
      <w:bookmarkStart w:id="376" w:name="_Toc24064"/>
      <w:bookmarkStart w:id="377" w:name="_Toc122"/>
      <w:bookmarkStart w:id="378" w:name="_Toc26130"/>
      <w:bookmarkStart w:id="379" w:name="_Toc3434"/>
      <w:bookmarkStart w:id="380" w:name="_Toc24901"/>
      <w:bookmarkStart w:id="381" w:name="_Toc22784"/>
      <w:bookmarkStart w:id="382" w:name="_Toc14367"/>
      <w:bookmarkStart w:id="383" w:name="_Toc6145"/>
      <w:bookmarkStart w:id="384" w:name="_Toc5420"/>
      <w:bookmarkStart w:id="385" w:name="_Toc18285"/>
      <w:bookmarkStart w:id="386" w:name="_Toc10914"/>
      <w:bookmarkStart w:id="387" w:name="_Toc28092"/>
      <w:bookmarkStart w:id="388" w:name="_Toc11116"/>
      <w:r>
        <w:rPr>
          <w:rFonts w:hint="eastAsia" w:ascii="黑体" w:hAnsi="黑体" w:eastAsia="黑体" w:cs="黑体"/>
          <w:lang w:bidi="ar"/>
        </w:rPr>
        <w:t>评估报告编制</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2E8707D9">
      <w:pPr>
        <w:widowControl/>
        <w:spacing w:before="0" w:beforeLines="0"/>
        <w:ind w:firstLine="420"/>
        <w:rPr>
          <w:rFonts w:hint="eastAsia" w:cs="宋体"/>
          <w:color w:val="000000"/>
          <w:kern w:val="0"/>
          <w:szCs w:val="21"/>
          <w:lang w:bidi="ar"/>
        </w:rPr>
      </w:pPr>
      <w:r>
        <w:rPr>
          <w:rFonts w:cs="宋体"/>
          <w:color w:val="000000"/>
          <w:kern w:val="0"/>
          <w:szCs w:val="21"/>
          <w:lang w:bidi="ar"/>
        </w:rPr>
        <w:t>报告应包括：规划执行概况、技术方法、各类指标评估结果、问题诊断与成效分析，提出未来规划目标优化建议及政策改进措施。编制大纲建议参考附录D。</w:t>
      </w:r>
    </w:p>
    <w:p w14:paraId="11DEF4E6">
      <w:pPr>
        <w:pStyle w:val="57"/>
        <w:numPr>
          <w:ilvl w:val="1"/>
          <w:numId w:val="7"/>
        </w:numPr>
        <w:spacing w:before="120" w:beforeLines="0" w:after="120" w:afterLines="50"/>
        <w:jc w:val="left"/>
        <w:outlineLvl w:val="2"/>
        <w:rPr>
          <w:rFonts w:hint="eastAsia" w:ascii="黑体" w:hAnsi="黑体" w:eastAsia="黑体" w:cs="黑体"/>
          <w:lang w:bidi="ar"/>
        </w:rPr>
      </w:pPr>
      <w:bookmarkStart w:id="389" w:name="_Toc16228"/>
      <w:bookmarkStart w:id="390" w:name="_Toc8390"/>
      <w:bookmarkStart w:id="391" w:name="_Toc4362"/>
      <w:bookmarkStart w:id="392" w:name="_Toc22452"/>
      <w:bookmarkStart w:id="393" w:name="_Toc12771"/>
      <w:bookmarkStart w:id="394" w:name="_Toc8107"/>
      <w:bookmarkStart w:id="395" w:name="_Toc9798"/>
      <w:bookmarkStart w:id="396" w:name="_Toc11268"/>
      <w:bookmarkStart w:id="397" w:name="_Toc8395"/>
      <w:bookmarkStart w:id="398" w:name="_Toc20070"/>
      <w:bookmarkStart w:id="399" w:name="_Toc1353"/>
      <w:bookmarkStart w:id="400" w:name="_Toc5948"/>
      <w:bookmarkStart w:id="401" w:name="_Toc14558"/>
      <w:bookmarkStart w:id="402" w:name="_Toc29208"/>
      <w:bookmarkStart w:id="403" w:name="_Toc22374"/>
      <w:r>
        <w:rPr>
          <w:rFonts w:hint="eastAsia" w:ascii="黑体" w:hAnsi="黑体" w:eastAsia="黑体" w:cs="黑体"/>
          <w:lang w:bidi="ar"/>
        </w:rPr>
        <w:t>数据表格制作</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14:paraId="6CFFDC6D">
      <w:pPr>
        <w:widowControl/>
        <w:spacing w:before="0" w:beforeLines="0"/>
        <w:ind w:firstLine="420"/>
        <w:rPr>
          <w:rFonts w:hint="eastAsia" w:cs="宋体"/>
          <w:lang w:bidi="ar"/>
        </w:rPr>
      </w:pPr>
      <w:r>
        <w:rPr>
          <w:rFonts w:hint="eastAsia" w:cs="宋体"/>
          <w:lang w:bidi="ar"/>
        </w:rPr>
        <w:t>利用数据表格形式呈现规划实施后期评估的主要结果，重点突出国土空间生态修复规划实施后期的规划目标完成情况和综合</w:t>
      </w:r>
      <w:r>
        <w:rPr>
          <w:rFonts w:hint="eastAsia" w:cs="宋体"/>
          <w:lang w:val="en-US" w:eastAsia="zh-CN" w:bidi="ar"/>
        </w:rPr>
        <w:t>效果</w:t>
      </w:r>
      <w:r>
        <w:rPr>
          <w:rFonts w:hint="eastAsia" w:cs="宋体"/>
          <w:lang w:bidi="ar"/>
        </w:rPr>
        <w:t>提升水平。</w:t>
      </w:r>
    </w:p>
    <w:p w14:paraId="20FFA95A">
      <w:pPr>
        <w:pStyle w:val="56"/>
        <w:numPr>
          <w:ilvl w:val="2"/>
          <w:numId w:val="7"/>
        </w:numPr>
        <w:spacing w:before="120" w:beforeLines="0" w:after="120" w:afterLines="50"/>
        <w:jc w:val="left"/>
        <w:outlineLvl w:val="3"/>
        <w:rPr>
          <w:rFonts w:hint="eastAsia"/>
          <w:lang w:bidi="ar"/>
        </w:rPr>
      </w:pPr>
      <w:bookmarkStart w:id="404" w:name="_Toc31570"/>
      <w:bookmarkStart w:id="405" w:name="_Toc2968"/>
      <w:bookmarkStart w:id="406" w:name="_Toc2813"/>
      <w:bookmarkStart w:id="407" w:name="_Toc26079"/>
      <w:bookmarkStart w:id="408" w:name="_Toc15484"/>
      <w:bookmarkStart w:id="409" w:name="_Toc10227"/>
      <w:r>
        <w:rPr>
          <w:rFonts w:hint="eastAsia"/>
          <w:lang w:bidi="ar"/>
        </w:rPr>
        <w:t>表格内容</w:t>
      </w:r>
      <w:bookmarkEnd w:id="404"/>
      <w:bookmarkEnd w:id="405"/>
      <w:bookmarkEnd w:id="406"/>
      <w:bookmarkEnd w:id="407"/>
      <w:bookmarkEnd w:id="408"/>
      <w:bookmarkEnd w:id="409"/>
    </w:p>
    <w:p w14:paraId="2FD970A9">
      <w:pPr>
        <w:widowControl/>
        <w:spacing w:before="0" w:beforeLines="0"/>
        <w:ind w:firstLine="420"/>
        <w:rPr>
          <w:rFonts w:hint="eastAsia" w:cs="宋体"/>
          <w:lang w:bidi="ar"/>
        </w:rPr>
      </w:pPr>
      <w:r>
        <w:rPr>
          <w:rFonts w:hint="eastAsia" w:cs="宋体"/>
          <w:lang w:bidi="ar"/>
        </w:rPr>
        <w:t>包括评估基期现状值、评估期实际值、规划目标值及完成率，评估指标体系分析结果，按照</w:t>
      </w:r>
      <w:bookmarkStart w:id="410" w:name="OLE_LINK4"/>
      <w:r>
        <w:rPr>
          <w:rFonts w:hint="eastAsia" w:cs="宋体"/>
          <w:lang w:bidi="ar"/>
        </w:rPr>
        <w:t>国土空间规划区、生态修复分区、重大工程区分类</w:t>
      </w:r>
      <w:bookmarkEnd w:id="410"/>
      <w:r>
        <w:rPr>
          <w:rFonts w:hint="eastAsia" w:cs="宋体"/>
          <w:lang w:bidi="ar"/>
        </w:rPr>
        <w:t>展示。</w:t>
      </w:r>
    </w:p>
    <w:p w14:paraId="5BC599D7">
      <w:pPr>
        <w:pStyle w:val="56"/>
        <w:numPr>
          <w:ilvl w:val="2"/>
          <w:numId w:val="7"/>
        </w:numPr>
        <w:spacing w:before="120" w:beforeLines="0" w:after="120" w:afterLines="50"/>
        <w:jc w:val="left"/>
        <w:outlineLvl w:val="3"/>
        <w:rPr>
          <w:rFonts w:hint="eastAsia"/>
          <w:lang w:bidi="ar"/>
        </w:rPr>
      </w:pPr>
      <w:bookmarkStart w:id="411" w:name="_Toc3552"/>
      <w:bookmarkStart w:id="412" w:name="_Toc31612"/>
      <w:bookmarkStart w:id="413" w:name="_Toc21706"/>
      <w:bookmarkStart w:id="414" w:name="_Toc32378"/>
      <w:bookmarkStart w:id="415" w:name="_Toc21639"/>
      <w:bookmarkStart w:id="416" w:name="_Toc30284"/>
      <w:r>
        <w:rPr>
          <w:rFonts w:hint="eastAsia"/>
          <w:lang w:bidi="ar"/>
        </w:rPr>
        <w:t>格式规范</w:t>
      </w:r>
      <w:bookmarkEnd w:id="411"/>
      <w:bookmarkEnd w:id="412"/>
      <w:bookmarkEnd w:id="413"/>
      <w:bookmarkEnd w:id="414"/>
      <w:bookmarkEnd w:id="415"/>
      <w:bookmarkEnd w:id="416"/>
    </w:p>
    <w:p w14:paraId="1742E2C5">
      <w:pPr>
        <w:widowControl/>
        <w:spacing w:before="0" w:beforeLines="0"/>
        <w:ind w:firstLine="420"/>
        <w:rPr>
          <w:rFonts w:hint="eastAsia" w:cs="宋体"/>
          <w:lang w:bidi="ar"/>
        </w:rPr>
      </w:pPr>
      <w:r>
        <w:rPr>
          <w:rFonts w:hint="eastAsia" w:cs="宋体"/>
          <w:lang w:bidi="ar"/>
        </w:rPr>
        <w:t>采用统一编码体系，明确数据单位及来源，确保表格可追溯、可验证。</w:t>
      </w:r>
    </w:p>
    <w:p w14:paraId="4C0EC74E">
      <w:pPr>
        <w:pStyle w:val="57"/>
        <w:numPr>
          <w:ilvl w:val="1"/>
          <w:numId w:val="7"/>
        </w:numPr>
        <w:spacing w:before="120" w:after="120" w:afterLines="50"/>
        <w:jc w:val="left"/>
        <w:outlineLvl w:val="2"/>
        <w:rPr>
          <w:rFonts w:hint="eastAsia" w:ascii="黑体" w:hAnsi="黑体" w:eastAsia="黑体" w:cs="黑体"/>
          <w:lang w:bidi="ar"/>
        </w:rPr>
      </w:pPr>
      <w:bookmarkStart w:id="417" w:name="_Toc11923"/>
      <w:bookmarkStart w:id="418" w:name="_Toc16443"/>
      <w:bookmarkStart w:id="419" w:name="_Toc28286"/>
      <w:bookmarkStart w:id="420" w:name="_Toc9942"/>
      <w:bookmarkStart w:id="421" w:name="_Toc12764"/>
      <w:bookmarkStart w:id="422" w:name="_Toc30036"/>
      <w:bookmarkStart w:id="423" w:name="_Toc31267"/>
      <w:bookmarkStart w:id="424" w:name="_Toc406"/>
      <w:bookmarkStart w:id="425" w:name="_Toc8471"/>
      <w:bookmarkStart w:id="426" w:name="_Toc15761"/>
      <w:bookmarkStart w:id="427" w:name="_Toc11112"/>
      <w:bookmarkStart w:id="428" w:name="_Toc2558"/>
      <w:bookmarkStart w:id="429" w:name="_Toc5930"/>
      <w:bookmarkStart w:id="430" w:name="_Toc24692"/>
      <w:bookmarkStart w:id="431" w:name="_Toc27549"/>
      <w:r>
        <w:rPr>
          <w:rFonts w:hint="eastAsia" w:ascii="黑体" w:hAnsi="黑体" w:eastAsia="黑体" w:cs="黑体"/>
          <w:lang w:bidi="ar"/>
        </w:rPr>
        <w:t>图件编制</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14:paraId="4EFD5976">
      <w:pPr>
        <w:spacing w:before="0" w:beforeLines="0"/>
        <w:ind w:firstLine="420"/>
        <w:rPr>
          <w:rFonts w:hint="eastAsia" w:cs="宋体"/>
          <w:lang w:bidi="ar"/>
        </w:rPr>
      </w:pPr>
      <w:r>
        <w:rPr>
          <w:rFonts w:hint="eastAsia" w:cs="宋体"/>
          <w:lang w:bidi="ar"/>
        </w:rPr>
        <w:t>图件应反映空间分布和动态变化，建议使用柱状图、折线图、专题地图等形式表达评估成果。地理空间图件应采用CGCS2000坐标系统，其他图件标注数据采集时间及方法。</w:t>
      </w:r>
    </w:p>
    <w:p w14:paraId="75C94A32">
      <w:pPr>
        <w:pStyle w:val="57"/>
        <w:numPr>
          <w:ilvl w:val="1"/>
          <w:numId w:val="7"/>
        </w:numPr>
        <w:spacing w:before="120" w:after="120" w:afterLines="50"/>
        <w:jc w:val="left"/>
        <w:outlineLvl w:val="2"/>
        <w:rPr>
          <w:rFonts w:hint="eastAsia" w:ascii="黑体" w:hAnsi="黑体" w:eastAsia="黑体" w:cs="黑体"/>
          <w:lang w:bidi="ar"/>
        </w:rPr>
      </w:pPr>
      <w:bookmarkStart w:id="432" w:name="_Toc27245"/>
      <w:bookmarkStart w:id="433" w:name="_Toc22337"/>
      <w:bookmarkStart w:id="434" w:name="_Toc23027"/>
      <w:bookmarkStart w:id="435" w:name="_Toc22054"/>
      <w:bookmarkStart w:id="436" w:name="_Toc24812"/>
      <w:bookmarkStart w:id="437" w:name="_Toc3051"/>
      <w:bookmarkStart w:id="438" w:name="_Toc8198"/>
      <w:bookmarkStart w:id="439" w:name="_Toc30084"/>
      <w:bookmarkStart w:id="440" w:name="OLE_LINK59"/>
      <w:bookmarkStart w:id="441" w:name="_Toc4806"/>
      <w:bookmarkStart w:id="442" w:name="_Toc9965"/>
      <w:bookmarkStart w:id="443" w:name="_Toc29254"/>
      <w:bookmarkStart w:id="444" w:name="_Toc11803"/>
      <w:bookmarkStart w:id="445" w:name="_Toc197"/>
      <w:bookmarkStart w:id="446" w:name="_Toc29350"/>
      <w:bookmarkStart w:id="447" w:name="_Toc2949"/>
      <w:r>
        <w:rPr>
          <w:rFonts w:hint="eastAsia" w:ascii="黑体" w:hAnsi="黑体" w:eastAsia="黑体" w:cs="黑体"/>
          <w:lang w:bidi="ar"/>
        </w:rPr>
        <w:t>成果管理</w:t>
      </w:r>
      <w:bookmarkEnd w:id="432"/>
      <w:bookmarkEnd w:id="433"/>
      <w:bookmarkEnd w:id="434"/>
      <w:bookmarkEnd w:id="435"/>
      <w:bookmarkEnd w:id="436"/>
      <w:bookmarkEnd w:id="437"/>
      <w:bookmarkEnd w:id="438"/>
      <w:bookmarkEnd w:id="439"/>
    </w:p>
    <w:p w14:paraId="5B03F65B">
      <w:pPr>
        <w:spacing w:before="0" w:beforeLines="0"/>
        <w:ind w:firstLine="420"/>
        <w:rPr>
          <w:rFonts w:hint="eastAsia" w:cs="宋体"/>
          <w:lang w:bidi="ar"/>
        </w:rPr>
      </w:pPr>
      <w:r>
        <w:rPr>
          <w:rFonts w:hint="eastAsia" w:cs="宋体"/>
          <w:lang w:bidi="ar"/>
        </w:rPr>
        <w:t>对评估成果进行规范整理与归档，确保数据资料完整、结构清晰、便于查询和调阅，并推动评估成果在规划调整、资源配置、政策优化中的转化应用。</w:t>
      </w:r>
    </w:p>
    <w:bookmarkEnd w:id="440"/>
    <w:p w14:paraId="24CFA1B5">
      <w:pPr>
        <w:pStyle w:val="57"/>
        <w:numPr>
          <w:ilvl w:val="1"/>
          <w:numId w:val="7"/>
        </w:numPr>
        <w:spacing w:before="120" w:after="120" w:afterLines="50"/>
        <w:jc w:val="left"/>
        <w:outlineLvl w:val="2"/>
        <w:rPr>
          <w:rFonts w:hint="eastAsia" w:ascii="黑体" w:hAnsi="黑体" w:eastAsia="黑体" w:cs="黑体"/>
          <w:lang w:bidi="ar"/>
        </w:rPr>
      </w:pPr>
      <w:bookmarkStart w:id="448" w:name="_Toc28853"/>
      <w:bookmarkStart w:id="449" w:name="_Toc24597"/>
      <w:bookmarkStart w:id="450" w:name="_Toc31977"/>
      <w:bookmarkStart w:id="451" w:name="_Toc29158"/>
      <w:bookmarkStart w:id="452" w:name="_Toc17684"/>
      <w:bookmarkStart w:id="453" w:name="_Toc30057"/>
      <w:bookmarkStart w:id="454" w:name="_Toc24077"/>
      <w:bookmarkStart w:id="455" w:name="_Toc30524"/>
      <w:r>
        <w:rPr>
          <w:rFonts w:hint="eastAsia" w:ascii="黑体" w:hAnsi="黑体" w:eastAsia="黑体" w:cs="黑体"/>
          <w:lang w:bidi="ar"/>
        </w:rPr>
        <w:t>成果整理归档</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14:paraId="57D49726">
      <w:pPr>
        <w:widowControl/>
        <w:spacing w:before="0" w:beforeLines="0"/>
        <w:ind w:firstLine="420"/>
        <w:rPr>
          <w:rFonts w:hint="eastAsia" w:cs="宋体"/>
          <w:lang w:bidi="ar"/>
        </w:rPr>
      </w:pPr>
      <w:r>
        <w:rPr>
          <w:rFonts w:hint="eastAsia" w:cs="宋体"/>
          <w:lang w:bidi="ar"/>
        </w:rPr>
        <w:t>报告、图表、图件等成果结构化归档应符合TD/T 1068、TD/T 1069的相关要求，包括Shapefile、Excel属性表及XML元数据。成果应分别以电子与纸质形式提交主管部门，纸质件应加盖公章并保存不少于10年。</w:t>
      </w:r>
    </w:p>
    <w:p w14:paraId="1D2A8B31">
      <w:pPr>
        <w:pStyle w:val="57"/>
        <w:numPr>
          <w:ilvl w:val="1"/>
          <w:numId w:val="7"/>
        </w:numPr>
        <w:spacing w:before="120" w:beforeLines="0" w:after="120" w:afterLines="50"/>
        <w:jc w:val="left"/>
        <w:outlineLvl w:val="2"/>
        <w:rPr>
          <w:rFonts w:hint="eastAsia" w:ascii="黑体" w:hAnsi="黑体" w:eastAsia="黑体" w:cs="黑体"/>
          <w:lang w:bidi="ar"/>
        </w:rPr>
      </w:pPr>
      <w:bookmarkStart w:id="456" w:name="_Toc14080"/>
      <w:bookmarkStart w:id="457" w:name="_Toc28411"/>
      <w:bookmarkStart w:id="458" w:name="_Toc1631"/>
      <w:bookmarkStart w:id="459" w:name="OLE_LINK32"/>
      <w:bookmarkStart w:id="460" w:name="_Toc21998"/>
      <w:bookmarkStart w:id="461" w:name="_Toc668"/>
      <w:bookmarkStart w:id="462" w:name="_Toc6701"/>
      <w:bookmarkStart w:id="463" w:name="_Toc25972"/>
      <w:bookmarkStart w:id="464" w:name="_Toc20043"/>
      <w:bookmarkStart w:id="465" w:name="_Toc30514"/>
      <w:bookmarkStart w:id="466" w:name="_Toc10997"/>
      <w:bookmarkStart w:id="467" w:name="_Toc12979"/>
      <w:bookmarkStart w:id="468" w:name="_Toc22797"/>
      <w:bookmarkStart w:id="469" w:name="_Toc20359"/>
      <w:bookmarkStart w:id="470" w:name="_Toc18001"/>
      <w:bookmarkStart w:id="471" w:name="_Toc21704"/>
      <w:r>
        <w:rPr>
          <w:rFonts w:hint="eastAsia" w:ascii="黑体" w:hAnsi="黑体" w:eastAsia="黑体" w:cs="黑体"/>
          <w:lang w:bidi="ar"/>
        </w:rPr>
        <w:t>评估成果应用</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14:paraId="5C7C011A">
      <w:pPr>
        <w:spacing w:before="0" w:beforeLines="0"/>
        <w:ind w:firstLine="420"/>
        <w:rPr>
          <w:rFonts w:hint="eastAsia" w:cs="宋体"/>
          <w:lang w:bidi="ar"/>
        </w:rPr>
      </w:pPr>
      <w:r>
        <w:rPr>
          <w:rFonts w:hint="eastAsia" w:cs="宋体"/>
          <w:lang w:bidi="ar"/>
        </w:rPr>
        <w:t>建立“评估</w:t>
      </w:r>
      <w:r>
        <w:rPr>
          <w:rFonts w:hint="eastAsia" w:cs="宋体"/>
          <w:lang w:eastAsia="zh-CN" w:bidi="ar"/>
        </w:rPr>
        <w:t>－</w:t>
      </w:r>
      <w:r>
        <w:rPr>
          <w:rFonts w:hint="eastAsia" w:cs="宋体"/>
          <w:lang w:bidi="ar"/>
        </w:rPr>
        <w:t>反馈</w:t>
      </w:r>
      <w:r>
        <w:rPr>
          <w:rFonts w:hint="eastAsia" w:cs="宋体"/>
          <w:lang w:eastAsia="zh-CN" w:bidi="ar"/>
        </w:rPr>
        <w:t>－</w:t>
      </w:r>
      <w:r>
        <w:rPr>
          <w:rFonts w:hint="eastAsia" w:cs="宋体"/>
          <w:lang w:bidi="ar"/>
        </w:rPr>
        <w:t>调整”的适应性管理机制。规划实施后期进行成果评估，评估结果将应用于反馈修正，包括调整后续工程布局、优化资源配置及完善政策设计。对成效显著的区域和工程，总结经验并推广示范；对未达标指标，需追溯成因并制定专项整改方案。并且结合气候变化、社会经济发展等不确定性因素，根据规划实施周期动态调整更新评估指标体系和方法，增强规划实施评估的弹性。评估成果将为各级自然资源主管部门科学决策和政策制定提供有力支撑。</w:t>
      </w:r>
    </w:p>
    <w:p w14:paraId="0D1E3764">
      <w:pPr>
        <w:spacing w:before="0" w:beforeLines="0"/>
        <w:ind w:firstLine="420"/>
        <w:rPr>
          <w:rFonts w:hint="eastAsia" w:cs="宋体"/>
          <w:lang w:bidi="ar"/>
        </w:rPr>
      </w:pPr>
      <w:r>
        <w:rPr>
          <w:rFonts w:hint="eastAsia" w:cs="宋体"/>
          <w:lang w:bidi="ar"/>
        </w:rPr>
        <w:br w:type="page"/>
      </w:r>
    </w:p>
    <w:p w14:paraId="05599793">
      <w:pPr>
        <w:pStyle w:val="51"/>
        <w:tabs>
          <w:tab w:val="left" w:pos="360"/>
          <w:tab w:val="left" w:pos="6405"/>
        </w:tabs>
        <w:adjustRightInd/>
        <w:snapToGrid/>
        <w:spacing w:beforeLines="0" w:after="0"/>
        <w:rPr>
          <w:rFonts w:hint="eastAsia"/>
        </w:rPr>
      </w:pPr>
      <w:bookmarkStart w:id="472" w:name="_Toc29169"/>
      <w:bookmarkStart w:id="473" w:name="_Toc18928"/>
      <w:bookmarkStart w:id="474" w:name="_Toc16170"/>
      <w:bookmarkStart w:id="475" w:name="_Toc13507"/>
      <w:bookmarkStart w:id="476" w:name="_Toc14378"/>
      <w:r>
        <w:rPr>
          <w:rFonts w:hint="eastAsia"/>
        </w:rPr>
        <w:t xml:space="preserve"> </w:t>
      </w:r>
    </w:p>
    <w:p w14:paraId="2B99120E">
      <w:pPr>
        <w:pStyle w:val="51"/>
        <w:numPr>
          <w:ilvl w:val="255"/>
          <w:numId w:val="0"/>
        </w:numPr>
        <w:tabs>
          <w:tab w:val="left" w:pos="360"/>
          <w:tab w:val="left" w:pos="6405"/>
        </w:tabs>
        <w:snapToGrid/>
        <w:spacing w:before="120" w:after="0"/>
        <w:outlineLvl w:val="2"/>
        <w:rPr>
          <w:rFonts w:hAnsi="Times New Roman" w:cs="Times New Roman"/>
        </w:rPr>
      </w:pPr>
      <w:bookmarkStart w:id="477" w:name="_Toc4466"/>
      <w:bookmarkStart w:id="478" w:name="_Toc2852"/>
      <w:bookmarkStart w:id="479" w:name="_Toc19765"/>
      <w:bookmarkStart w:id="480" w:name="_Toc22396"/>
      <w:bookmarkStart w:id="481" w:name="_Toc30257"/>
      <w:r>
        <w:rPr>
          <w:rFonts w:hAnsi="Times New Roman" w:cs="Times New Roman"/>
        </w:rPr>
        <w:t>（规范性）</w:t>
      </w:r>
      <w:bookmarkEnd w:id="477"/>
      <w:bookmarkEnd w:id="478"/>
      <w:bookmarkEnd w:id="479"/>
      <w:bookmarkEnd w:id="480"/>
      <w:bookmarkEnd w:id="481"/>
    </w:p>
    <w:p w14:paraId="61E65DA0">
      <w:pPr>
        <w:pStyle w:val="51"/>
        <w:numPr>
          <w:ilvl w:val="255"/>
          <w:numId w:val="0"/>
        </w:numPr>
        <w:tabs>
          <w:tab w:val="left" w:pos="360"/>
          <w:tab w:val="left" w:pos="6405"/>
        </w:tabs>
        <w:snapToGrid/>
        <w:spacing w:before="120" w:after="0"/>
        <w:outlineLvl w:val="2"/>
        <w:rPr>
          <w:rFonts w:hAnsi="Times New Roman" w:cs="Times New Roman"/>
        </w:rPr>
      </w:pPr>
      <w:bookmarkStart w:id="482" w:name="_Toc18520"/>
      <w:bookmarkStart w:id="483" w:name="_Toc26498"/>
      <w:bookmarkStart w:id="484" w:name="_Toc13747"/>
      <w:bookmarkStart w:id="485" w:name="_Toc12498"/>
      <w:bookmarkStart w:id="486" w:name="_Toc32518"/>
      <w:r>
        <w:rPr>
          <w:rFonts w:hAnsi="Times New Roman" w:cs="Times New Roman"/>
        </w:rPr>
        <w:t>评估指标体系</w:t>
      </w:r>
      <w:bookmarkEnd w:id="472"/>
      <w:bookmarkEnd w:id="473"/>
      <w:bookmarkEnd w:id="474"/>
      <w:bookmarkEnd w:id="475"/>
      <w:bookmarkEnd w:id="476"/>
      <w:bookmarkEnd w:id="482"/>
      <w:bookmarkEnd w:id="483"/>
      <w:bookmarkEnd w:id="484"/>
      <w:bookmarkEnd w:id="485"/>
      <w:bookmarkEnd w:id="486"/>
    </w:p>
    <w:p w14:paraId="1134C032">
      <w:pPr>
        <w:spacing w:before="120" w:after="120" w:afterLines="50"/>
        <w:ind w:firstLine="0" w:firstLineChars="0"/>
        <w:jc w:val="center"/>
        <w:rPr>
          <w:rFonts w:ascii="黑体" w:hAnsi="Times New Roman" w:eastAsia="黑体" w:cs="Times New Roman"/>
          <w:kern w:val="0"/>
          <w:szCs w:val="22"/>
        </w:rPr>
      </w:pPr>
      <w:bookmarkStart w:id="487" w:name="_Toc11587"/>
      <w:bookmarkStart w:id="488" w:name="_Toc2902"/>
      <w:bookmarkStart w:id="489" w:name="_Toc11640"/>
      <w:bookmarkStart w:id="490" w:name="_Toc1889"/>
      <w:bookmarkStart w:id="491" w:name="_Toc16056"/>
      <w:bookmarkStart w:id="492" w:name="_Toc4139"/>
      <w:bookmarkStart w:id="493" w:name="_Toc1296"/>
      <w:bookmarkStart w:id="494" w:name="_Toc25504"/>
      <w:bookmarkStart w:id="495" w:name="_Toc16706"/>
      <w:bookmarkStart w:id="496" w:name="_Toc17103"/>
      <w:bookmarkStart w:id="497" w:name="_Toc32483"/>
      <w:bookmarkStart w:id="498" w:name="_Toc12840"/>
      <w:r>
        <w:rPr>
          <w:rFonts w:hint="eastAsia" w:ascii="黑体" w:hAnsi="Times New Roman" w:eastAsia="黑体" w:cs="Times New Roman"/>
          <w:kern w:val="0"/>
          <w:szCs w:val="22"/>
        </w:rPr>
        <w:t>表A.1 国土空间生态修复规划后期评估指标体系</w:t>
      </w:r>
      <w:bookmarkEnd w:id="487"/>
      <w:bookmarkEnd w:id="488"/>
      <w:bookmarkEnd w:id="489"/>
      <w:bookmarkEnd w:id="490"/>
      <w:bookmarkEnd w:id="491"/>
      <w:r>
        <w:rPr>
          <w:rFonts w:hint="eastAsia" w:ascii="黑体" w:hAnsi="Times New Roman" w:eastAsia="黑体" w:cs="Times New Roman"/>
          <w:kern w:val="0"/>
          <w:szCs w:val="22"/>
        </w:rPr>
        <w:t>及计算方法表</w:t>
      </w:r>
      <w:bookmarkEnd w:id="492"/>
      <w:bookmarkEnd w:id="493"/>
      <w:bookmarkEnd w:id="494"/>
      <w:bookmarkEnd w:id="495"/>
      <w:bookmarkEnd w:id="496"/>
      <w:bookmarkEnd w:id="497"/>
      <w:bookmarkEnd w:id="498"/>
    </w:p>
    <w:tbl>
      <w:tblPr>
        <w:tblStyle w:val="17"/>
        <w:tblW w:w="9731" w:type="dxa"/>
        <w:tblInd w:w="0" w:type="dxa"/>
        <w:tblLayout w:type="fixed"/>
        <w:tblCellMar>
          <w:top w:w="0" w:type="dxa"/>
          <w:left w:w="108" w:type="dxa"/>
          <w:bottom w:w="0" w:type="dxa"/>
          <w:right w:w="108" w:type="dxa"/>
        </w:tblCellMar>
      </w:tblPr>
      <w:tblGrid>
        <w:gridCol w:w="685"/>
        <w:gridCol w:w="700"/>
        <w:gridCol w:w="3393"/>
        <w:gridCol w:w="1079"/>
        <w:gridCol w:w="1139"/>
        <w:gridCol w:w="2735"/>
      </w:tblGrid>
      <w:tr w14:paraId="0A3DE35E">
        <w:tblPrEx>
          <w:tblCellMar>
            <w:top w:w="0" w:type="dxa"/>
            <w:left w:w="108" w:type="dxa"/>
            <w:bottom w:w="0" w:type="dxa"/>
            <w:right w:w="108" w:type="dxa"/>
          </w:tblCellMar>
        </w:tblPrEx>
        <w:trPr>
          <w:trHeight w:val="282" w:hRule="atLeast"/>
          <w:tblHeader/>
        </w:trPr>
        <w:tc>
          <w:tcPr>
            <w:tcW w:w="685" w:type="dxa"/>
            <w:tcBorders>
              <w:top w:val="single" w:color="000000" w:sz="4" w:space="0"/>
              <w:left w:val="single" w:color="000000" w:sz="4" w:space="0"/>
              <w:bottom w:val="single" w:color="000000" w:sz="4" w:space="0"/>
              <w:right w:val="single" w:color="000000" w:sz="4" w:space="0"/>
            </w:tcBorders>
            <w:noWrap/>
            <w:vAlign w:val="center"/>
          </w:tcPr>
          <w:p w14:paraId="2BFF745C">
            <w:pPr>
              <w:widowControl/>
              <w:spacing w:before="0" w:beforeLines="0"/>
              <w:ind w:firstLine="0" w:firstLineChars="0"/>
              <w:textAlignment w:val="center"/>
              <w:rPr>
                <w:rFonts w:hint="eastAsia" w:cs="宋体"/>
                <w:color w:val="000000"/>
                <w:sz w:val="18"/>
                <w:szCs w:val="18"/>
              </w:rPr>
            </w:pPr>
            <w:bookmarkStart w:id="499" w:name="_Toc3926"/>
            <w:bookmarkStart w:id="500" w:name="_Toc6936"/>
            <w:bookmarkStart w:id="501" w:name="_Toc14569"/>
            <w:bookmarkStart w:id="502" w:name="_Toc541"/>
            <w:bookmarkStart w:id="503" w:name="_Toc10584"/>
            <w:bookmarkStart w:id="504" w:name="_Toc13855"/>
            <w:bookmarkStart w:id="505" w:name="_Toc12202"/>
            <w:r>
              <w:rPr>
                <w:rFonts w:hint="eastAsia" w:cs="宋体"/>
                <w:color w:val="000000"/>
                <w:kern w:val="0"/>
                <w:sz w:val="18"/>
                <w:szCs w:val="18"/>
                <w:lang w:bidi="ar"/>
              </w:rPr>
              <w:t>一级指标</w:t>
            </w:r>
          </w:p>
        </w:tc>
        <w:tc>
          <w:tcPr>
            <w:tcW w:w="700" w:type="dxa"/>
            <w:tcBorders>
              <w:top w:val="single" w:color="000000" w:sz="4" w:space="0"/>
              <w:left w:val="single" w:color="000000" w:sz="4" w:space="0"/>
              <w:bottom w:val="single" w:color="000000" w:sz="4" w:space="0"/>
              <w:right w:val="single" w:color="000000" w:sz="4" w:space="0"/>
            </w:tcBorders>
            <w:vAlign w:val="center"/>
          </w:tcPr>
          <w:p w14:paraId="3796A46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二级指标</w:t>
            </w: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5FA258E6">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三级指标</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68F3CD6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单位</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17B82A4F">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指标类型</w:t>
            </w:r>
          </w:p>
        </w:tc>
        <w:tc>
          <w:tcPr>
            <w:tcW w:w="2735" w:type="dxa"/>
            <w:tcBorders>
              <w:top w:val="single" w:color="000000" w:sz="4" w:space="0"/>
              <w:left w:val="single" w:color="000000" w:sz="4" w:space="0"/>
              <w:bottom w:val="single" w:color="000000" w:sz="4" w:space="0"/>
              <w:right w:val="single" w:color="000000" w:sz="4" w:space="0"/>
            </w:tcBorders>
            <w:vAlign w:val="center"/>
          </w:tcPr>
          <w:p w14:paraId="649E03B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数据来源/参照规范</w:t>
            </w:r>
          </w:p>
        </w:tc>
      </w:tr>
      <w:tr w14:paraId="0778BF2D">
        <w:tblPrEx>
          <w:tblCellMar>
            <w:top w:w="0" w:type="dxa"/>
            <w:left w:w="108" w:type="dxa"/>
            <w:bottom w:w="0" w:type="dxa"/>
            <w:right w:w="108" w:type="dxa"/>
          </w:tblCellMar>
        </w:tblPrEx>
        <w:trPr>
          <w:trHeight w:val="282" w:hRule="atLeast"/>
          <w:tblHeader/>
        </w:trPr>
        <w:tc>
          <w:tcPr>
            <w:tcW w:w="685" w:type="dxa"/>
            <w:vMerge w:val="restart"/>
            <w:tcBorders>
              <w:top w:val="single" w:color="000000" w:sz="4" w:space="0"/>
              <w:left w:val="single" w:color="000000" w:sz="4" w:space="0"/>
              <w:right w:val="single" w:color="000000" w:sz="4" w:space="0"/>
            </w:tcBorders>
            <w:noWrap/>
            <w:vAlign w:val="center"/>
          </w:tcPr>
          <w:p w14:paraId="6C60475E">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规划目标类</w:t>
            </w:r>
          </w:p>
        </w:tc>
        <w:tc>
          <w:tcPr>
            <w:tcW w:w="9046" w:type="dxa"/>
            <w:gridSpan w:val="5"/>
            <w:tcBorders>
              <w:top w:val="single" w:color="000000" w:sz="4" w:space="0"/>
              <w:left w:val="single" w:color="000000" w:sz="4" w:space="0"/>
              <w:bottom w:val="single" w:color="000000" w:sz="4" w:space="0"/>
              <w:right w:val="single" w:color="000000" w:sz="4" w:space="0"/>
            </w:tcBorders>
            <w:vAlign w:val="center"/>
          </w:tcPr>
          <w:p w14:paraId="722CCC7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重大工程按照实施方案绩效</w:t>
            </w:r>
            <w:r>
              <w:rPr>
                <w:rFonts w:hint="eastAsia" w:cs="宋体"/>
                <w:color w:val="000000"/>
                <w:kern w:val="0"/>
                <w:sz w:val="18"/>
                <w:szCs w:val="18"/>
                <w:lang w:eastAsia="zh-CN" w:bidi="ar"/>
              </w:rPr>
              <w:t>目标</w:t>
            </w:r>
            <w:r>
              <w:rPr>
                <w:rFonts w:hint="eastAsia" w:cs="宋体"/>
                <w:color w:val="000000"/>
                <w:kern w:val="0"/>
                <w:sz w:val="18"/>
                <w:szCs w:val="18"/>
                <w:lang w:bidi="ar"/>
              </w:rPr>
              <w:t>评估工程建设任务完成情况</w:t>
            </w:r>
          </w:p>
        </w:tc>
      </w:tr>
      <w:tr w14:paraId="3A6891C7">
        <w:tblPrEx>
          <w:tblCellMar>
            <w:top w:w="0" w:type="dxa"/>
            <w:left w:w="108" w:type="dxa"/>
            <w:bottom w:w="0" w:type="dxa"/>
            <w:right w:w="108" w:type="dxa"/>
          </w:tblCellMar>
        </w:tblPrEx>
        <w:trPr>
          <w:trHeight w:val="549" w:hRule="atLeast"/>
          <w:tblHeader/>
        </w:trPr>
        <w:tc>
          <w:tcPr>
            <w:tcW w:w="685" w:type="dxa"/>
            <w:vMerge w:val="continue"/>
            <w:tcBorders>
              <w:left w:val="single" w:color="000000" w:sz="4" w:space="0"/>
              <w:right w:val="single" w:color="000000" w:sz="4" w:space="0"/>
            </w:tcBorders>
            <w:noWrap/>
            <w:vAlign w:val="center"/>
          </w:tcPr>
          <w:p w14:paraId="7441231C">
            <w:pPr>
              <w:spacing w:beforeLines="0"/>
              <w:ind w:firstLine="0" w:firstLineChars="0"/>
              <w:rPr>
                <w:rFonts w:hint="eastAsia" w:cs="宋体"/>
                <w:color w:val="000000"/>
                <w:sz w:val="18"/>
                <w:szCs w:val="18"/>
              </w:rPr>
            </w:pP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14:paraId="2A9F5AD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生态质量</w:t>
            </w: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71182341">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生物多样性保护（国、省重点保护物种及区域特有物种有效保护比例）</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2FB65AEF">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29D28DDE">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33C2751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园林绿化、林业、水务等主管部门</w:t>
            </w:r>
          </w:p>
        </w:tc>
      </w:tr>
      <w:tr w14:paraId="59BB99CC">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4636711B">
            <w:pPr>
              <w:spacing w:beforeLines="0"/>
              <w:ind w:firstLine="0" w:firstLineChars="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2ABB8CC6">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50B246E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生态保护红线面积</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5E9D1CAF">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val="en-US" w:eastAsia="zh-CN" w:bidi="ar"/>
              </w:rPr>
              <w:t>km</w:t>
            </w:r>
            <w:r>
              <w:rPr>
                <w:rFonts w:hint="eastAsia" w:cs="宋体"/>
                <w:color w:val="000000"/>
                <w:kern w:val="0"/>
                <w:sz w:val="18"/>
                <w:szCs w:val="18"/>
                <w:vertAlign w:val="superscript"/>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260D0D8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794A1A4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全国国土调查及年度变更调查等</w:t>
            </w:r>
          </w:p>
        </w:tc>
      </w:tr>
      <w:tr w14:paraId="697F5C9D">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2294E760">
            <w:pPr>
              <w:spacing w:beforeLines="0"/>
              <w:ind w:firstLine="0" w:firstLineChars="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48AC095E">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7A72B9C6">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森林覆盖率</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5C9987E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0D89C7B1">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360B2A7F">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第三次土地利用调查及历年变更调查数据</w:t>
            </w:r>
          </w:p>
        </w:tc>
      </w:tr>
      <w:tr w14:paraId="55090F77">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428C6BA1">
            <w:pPr>
              <w:spacing w:beforeLines="0"/>
              <w:ind w:firstLine="0" w:firstLineChars="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103218CA">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40D7BFA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自然保护地占比</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5D1E5AF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0E98EE0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5493EAA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参考GB/T 38590</w:t>
            </w:r>
          </w:p>
        </w:tc>
      </w:tr>
      <w:tr w14:paraId="759801F5">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625B6390">
            <w:pPr>
              <w:spacing w:beforeLines="0"/>
              <w:ind w:firstLine="0" w:firstLineChars="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3B6E3B10">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2A5FC35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森林蓄积量</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329D204E">
            <w:pPr>
              <w:widowControl/>
              <w:spacing w:before="0" w:beforeLines="0"/>
              <w:ind w:firstLine="0" w:firstLineChars="0"/>
              <w:textAlignment w:val="center"/>
              <w:rPr>
                <w:rFonts w:hint="default" w:eastAsia="宋体" w:cs="宋体"/>
                <w:color w:val="000000"/>
                <w:sz w:val="18"/>
                <w:szCs w:val="18"/>
                <w:lang w:val="en-US" w:eastAsia="zh-CN"/>
              </w:rPr>
            </w:pPr>
            <w:r>
              <w:rPr>
                <w:rFonts w:hint="eastAsia" w:cs="宋体"/>
                <w:color w:val="000000"/>
                <w:kern w:val="0"/>
                <w:sz w:val="18"/>
                <w:szCs w:val="18"/>
                <w:lang w:val="en-US" w:eastAsia="zh-CN" w:bidi="ar"/>
              </w:rPr>
              <w:t>m</w:t>
            </w:r>
            <w:r>
              <w:rPr>
                <w:rFonts w:hint="eastAsia" w:cs="宋体"/>
                <w:color w:val="000000"/>
                <w:kern w:val="0"/>
                <w:sz w:val="18"/>
                <w:szCs w:val="18"/>
                <w:vertAlign w:val="superscript"/>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66E1197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4D3175F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参考GB/T 38590</w:t>
            </w:r>
          </w:p>
        </w:tc>
      </w:tr>
      <w:tr w14:paraId="5C728EE0">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3F255F18">
            <w:pPr>
              <w:spacing w:beforeLines="0"/>
              <w:ind w:firstLine="0" w:firstLineChars="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78D67A9B">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1E0C265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草原综合植被盖度</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0C99521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46BFEB4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1FEBA90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第三次土地利用调查及历年变更调查数据</w:t>
            </w:r>
          </w:p>
        </w:tc>
      </w:tr>
      <w:tr w14:paraId="323FF03D">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173F0E14">
            <w:pPr>
              <w:spacing w:beforeLines="0"/>
              <w:ind w:firstLine="0" w:firstLineChars="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4330DB6D">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0B96ADC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水土保持率</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42226D4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6100C2C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555F0D8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水务主管部门</w:t>
            </w:r>
          </w:p>
        </w:tc>
      </w:tr>
      <w:tr w14:paraId="08D9AE1B">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2520FA66">
            <w:pPr>
              <w:spacing w:beforeLines="0"/>
              <w:ind w:firstLine="0" w:firstLineChars="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4FB82BC3">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5C6C52B1">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湿地保护率</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393CD9C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597C543D">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38FA596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林业草原主管部门</w:t>
            </w:r>
          </w:p>
        </w:tc>
      </w:tr>
      <w:tr w14:paraId="40B62D1E">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252FEF6F">
            <w:pPr>
              <w:spacing w:beforeLines="0"/>
              <w:ind w:firstLine="0" w:firstLineChars="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426E5134">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4E53AE46">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绿色矿山建设比例</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26310DFE">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5586EBBE">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0B59799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自然资源主管部门</w:t>
            </w:r>
          </w:p>
        </w:tc>
      </w:tr>
      <w:tr w14:paraId="6784419B">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6E55A826">
            <w:pPr>
              <w:spacing w:beforeLines="0"/>
              <w:ind w:firstLine="0" w:firstLineChars="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57A9C6B2">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73F8CE0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0B242A30">
            <w:pPr>
              <w:spacing w:beforeLines="0"/>
              <w:ind w:firstLine="0" w:firstLineChars="0"/>
              <w:rPr>
                <w:rFonts w:hint="eastAsia" w:cs="宋体"/>
                <w:color w:val="000000"/>
                <w:sz w:val="18"/>
                <w:szCs w:val="18"/>
              </w:rPr>
            </w:pP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6F2E93D7">
            <w:pPr>
              <w:spacing w:beforeLines="0"/>
              <w:ind w:firstLine="0" w:firstLineChars="0"/>
              <w:rPr>
                <w:rFonts w:hint="eastAsia" w:cs="宋体"/>
                <w:color w:val="000000"/>
                <w:sz w:val="18"/>
                <w:szCs w:val="18"/>
              </w:rPr>
            </w:pPr>
          </w:p>
        </w:tc>
        <w:tc>
          <w:tcPr>
            <w:tcW w:w="2735" w:type="dxa"/>
            <w:tcBorders>
              <w:top w:val="single" w:color="000000" w:sz="4" w:space="0"/>
              <w:left w:val="single" w:color="000000" w:sz="4" w:space="0"/>
              <w:bottom w:val="single" w:color="000000" w:sz="4" w:space="0"/>
              <w:right w:val="single" w:color="000000" w:sz="4" w:space="0"/>
            </w:tcBorders>
            <w:noWrap/>
            <w:vAlign w:val="center"/>
          </w:tcPr>
          <w:p w14:paraId="1D076570">
            <w:pPr>
              <w:spacing w:beforeLines="0"/>
              <w:ind w:firstLine="0" w:firstLineChars="0"/>
              <w:rPr>
                <w:rFonts w:hint="eastAsia" w:cs="宋体"/>
                <w:color w:val="000000"/>
                <w:sz w:val="18"/>
                <w:szCs w:val="18"/>
              </w:rPr>
            </w:pPr>
          </w:p>
        </w:tc>
      </w:tr>
      <w:tr w14:paraId="79B563F3">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7DA04658">
            <w:pPr>
              <w:spacing w:beforeLines="0"/>
              <w:ind w:firstLine="0" w:firstLineChars="0"/>
              <w:rPr>
                <w:rFonts w:hint="eastAsia" w:cs="宋体"/>
                <w:color w:val="000000"/>
                <w:sz w:val="18"/>
                <w:szCs w:val="18"/>
              </w:rPr>
            </w:pP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14:paraId="7C803C1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生态保护</w:t>
            </w:r>
          </w:p>
        </w:tc>
        <w:tc>
          <w:tcPr>
            <w:tcW w:w="3393" w:type="dxa"/>
            <w:tcBorders>
              <w:top w:val="single" w:color="000000" w:sz="4" w:space="0"/>
              <w:left w:val="single" w:color="000000" w:sz="4" w:space="0"/>
              <w:bottom w:val="single" w:color="000000" w:sz="4" w:space="0"/>
              <w:right w:val="single" w:color="000000" w:sz="4" w:space="0"/>
            </w:tcBorders>
            <w:vAlign w:val="center"/>
          </w:tcPr>
          <w:p w14:paraId="0CA011F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永久基本农田面积</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46BA88A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val="en-US" w:eastAsia="zh-CN" w:bidi="ar"/>
              </w:rPr>
              <w:t>km</w:t>
            </w:r>
            <w:r>
              <w:rPr>
                <w:rFonts w:hint="eastAsia" w:cs="宋体"/>
                <w:color w:val="000000"/>
                <w:kern w:val="0"/>
                <w:sz w:val="18"/>
                <w:szCs w:val="18"/>
                <w:vertAlign w:val="superscript"/>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55B0785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1FFAED9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全国国土调查及年度变更调查等</w:t>
            </w:r>
          </w:p>
        </w:tc>
      </w:tr>
      <w:tr w14:paraId="20D636EE">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097D5E0D">
            <w:pPr>
              <w:spacing w:beforeLines="0"/>
              <w:ind w:firstLine="0" w:firstLineChars="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0AD96FD0">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24AEDFF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耕地保有量</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085734A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val="en-US" w:eastAsia="zh-CN" w:bidi="ar"/>
              </w:rPr>
              <w:t>km</w:t>
            </w:r>
            <w:r>
              <w:rPr>
                <w:rFonts w:hint="eastAsia" w:cs="宋体"/>
                <w:color w:val="000000"/>
                <w:kern w:val="0"/>
                <w:sz w:val="18"/>
                <w:szCs w:val="18"/>
                <w:vertAlign w:val="superscript"/>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27420CE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10C58D7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全国国土调查及年度变更调查等</w:t>
            </w:r>
          </w:p>
        </w:tc>
      </w:tr>
      <w:tr w14:paraId="7E06E8FA">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737751CE">
            <w:pPr>
              <w:spacing w:beforeLines="0"/>
              <w:ind w:firstLine="0" w:firstLineChars="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7ADF33E0">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722DC23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林地保有量</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06B46F4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val="en-US" w:eastAsia="zh-CN" w:bidi="ar"/>
              </w:rPr>
              <w:t>km</w:t>
            </w:r>
            <w:r>
              <w:rPr>
                <w:rFonts w:hint="eastAsia" w:cs="宋体"/>
                <w:color w:val="000000"/>
                <w:kern w:val="0"/>
                <w:sz w:val="18"/>
                <w:szCs w:val="18"/>
                <w:vertAlign w:val="superscript"/>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5F24770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109A666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全国国土调查及年度变更调查等</w:t>
            </w:r>
          </w:p>
        </w:tc>
      </w:tr>
      <w:tr w14:paraId="7C068878">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73EA9C55">
            <w:pPr>
              <w:spacing w:beforeLines="0"/>
              <w:ind w:firstLine="0" w:firstLineChars="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3E13CB44">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76129C4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基本草原面积</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0E97731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val="en-US" w:eastAsia="zh-CN" w:bidi="ar"/>
              </w:rPr>
              <w:t>km</w:t>
            </w:r>
            <w:r>
              <w:rPr>
                <w:rFonts w:hint="eastAsia" w:cs="宋体"/>
                <w:color w:val="000000"/>
                <w:kern w:val="0"/>
                <w:sz w:val="18"/>
                <w:szCs w:val="18"/>
                <w:vertAlign w:val="superscript"/>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2394990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2D2C076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全国国土调查及年度变更调查等</w:t>
            </w:r>
          </w:p>
        </w:tc>
      </w:tr>
      <w:tr w14:paraId="7CB7A3F5">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7D5D2E75">
            <w:pPr>
              <w:spacing w:beforeLines="0"/>
              <w:ind w:firstLine="0" w:firstLineChars="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27DDD3F6">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12948E0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湿地面积</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3514434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val="en-US" w:eastAsia="zh-CN" w:bidi="ar"/>
              </w:rPr>
              <w:t>km</w:t>
            </w:r>
            <w:r>
              <w:rPr>
                <w:rFonts w:hint="eastAsia" w:cs="宋体"/>
                <w:color w:val="000000"/>
                <w:kern w:val="0"/>
                <w:sz w:val="18"/>
                <w:szCs w:val="18"/>
                <w:vertAlign w:val="superscript"/>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5823F3F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464CD12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全国国土调查及年度变更调查等</w:t>
            </w:r>
          </w:p>
        </w:tc>
      </w:tr>
      <w:tr w14:paraId="227836D2">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7C2E97B8">
            <w:pPr>
              <w:spacing w:beforeLines="0"/>
              <w:ind w:firstLine="0" w:firstLineChars="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61EB2E1F">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4EBE694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自然岸线保有率(大陆自然海岸线、重要河湖自然岸线</w:t>
            </w:r>
            <w:r>
              <w:rPr>
                <w:rFonts w:hint="eastAsia" w:cs="宋体"/>
                <w:color w:val="000000"/>
                <w:kern w:val="0"/>
                <w:sz w:val="18"/>
                <w:szCs w:val="18"/>
                <w:lang w:eastAsia="zh-CN" w:bidi="ar"/>
              </w:rPr>
              <w:t>）</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629A690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6EF716F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5C3030AD">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生态环境主管部门</w:t>
            </w:r>
          </w:p>
        </w:tc>
      </w:tr>
      <w:tr w14:paraId="1F6AB811">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1D3D0FEE">
            <w:pPr>
              <w:spacing w:beforeLines="0"/>
              <w:ind w:firstLine="0" w:firstLineChars="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2A7F9696">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5F4581E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集中式饮用水源地水质达标率</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59491386">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30F9CFEE">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65E95B0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生态环境主管部门</w:t>
            </w:r>
          </w:p>
        </w:tc>
      </w:tr>
      <w:tr w14:paraId="7DBD26D2">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27F68DF8">
            <w:pPr>
              <w:spacing w:beforeLines="0"/>
              <w:ind w:firstLine="0" w:firstLineChars="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302FB3EF">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4B886BEE">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地表水国控断面水质优良率</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55EF79B6">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5613EA5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0D1777A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生态环境主管部门</w:t>
            </w:r>
          </w:p>
        </w:tc>
      </w:tr>
      <w:tr w14:paraId="5CBE5599">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3C63B289">
            <w:pPr>
              <w:spacing w:beforeLines="0"/>
              <w:ind w:firstLine="0" w:firstLineChars="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3A667C7E">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5635592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2E224577">
            <w:pPr>
              <w:spacing w:beforeLines="0"/>
              <w:ind w:firstLine="0" w:firstLineChars="0"/>
              <w:rPr>
                <w:rFonts w:hint="eastAsia" w:cs="宋体"/>
                <w:color w:val="000000"/>
                <w:sz w:val="18"/>
                <w:szCs w:val="18"/>
              </w:rPr>
            </w:pP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6D7B5C4F">
            <w:pPr>
              <w:spacing w:beforeLines="0"/>
              <w:ind w:firstLine="0" w:firstLineChars="0"/>
              <w:rPr>
                <w:rFonts w:hint="eastAsia" w:cs="宋体"/>
                <w:color w:val="000000"/>
                <w:sz w:val="18"/>
                <w:szCs w:val="18"/>
              </w:rPr>
            </w:pPr>
          </w:p>
        </w:tc>
        <w:tc>
          <w:tcPr>
            <w:tcW w:w="2735" w:type="dxa"/>
            <w:tcBorders>
              <w:top w:val="single" w:color="000000" w:sz="4" w:space="0"/>
              <w:left w:val="single" w:color="000000" w:sz="4" w:space="0"/>
              <w:bottom w:val="single" w:color="000000" w:sz="4" w:space="0"/>
              <w:right w:val="single" w:color="000000" w:sz="4" w:space="0"/>
            </w:tcBorders>
            <w:vAlign w:val="center"/>
          </w:tcPr>
          <w:p w14:paraId="063FB03B">
            <w:pPr>
              <w:spacing w:beforeLines="0"/>
              <w:ind w:firstLine="0" w:firstLineChars="0"/>
              <w:rPr>
                <w:rFonts w:hint="eastAsia" w:cs="宋体"/>
                <w:color w:val="000000"/>
                <w:sz w:val="18"/>
                <w:szCs w:val="18"/>
              </w:rPr>
            </w:pPr>
          </w:p>
        </w:tc>
      </w:tr>
      <w:tr w14:paraId="6A0713DC">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7DF2EF9E">
            <w:pPr>
              <w:spacing w:beforeLines="0"/>
              <w:ind w:firstLine="0" w:firstLineChars="0"/>
              <w:rPr>
                <w:rFonts w:hint="eastAsia" w:cs="宋体"/>
                <w:color w:val="000000"/>
                <w:sz w:val="18"/>
                <w:szCs w:val="18"/>
              </w:rPr>
            </w:pPr>
          </w:p>
        </w:tc>
        <w:tc>
          <w:tcPr>
            <w:tcW w:w="700" w:type="dxa"/>
            <w:vMerge w:val="restart"/>
            <w:tcBorders>
              <w:top w:val="single" w:color="000000" w:sz="4" w:space="0"/>
              <w:left w:val="single" w:color="000000" w:sz="4" w:space="0"/>
              <w:right w:val="single" w:color="000000" w:sz="4" w:space="0"/>
            </w:tcBorders>
            <w:vAlign w:val="center"/>
          </w:tcPr>
          <w:p w14:paraId="2C3B6A2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生态修复</w:t>
            </w: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032A31E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生态恢复岸线长度</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4012E7BA">
            <w:pPr>
              <w:widowControl/>
              <w:spacing w:before="0" w:beforeLines="0"/>
              <w:ind w:firstLine="0" w:firstLineChars="0"/>
              <w:textAlignment w:val="center"/>
              <w:rPr>
                <w:rFonts w:hint="default" w:eastAsia="宋体" w:cs="宋体"/>
                <w:color w:val="000000"/>
                <w:sz w:val="18"/>
                <w:szCs w:val="18"/>
                <w:lang w:val="en-US" w:eastAsia="zh-CN"/>
              </w:rPr>
            </w:pPr>
            <w:r>
              <w:rPr>
                <w:rFonts w:hint="eastAsia" w:cs="宋体"/>
                <w:color w:val="000000"/>
                <w:kern w:val="0"/>
                <w:sz w:val="18"/>
                <w:szCs w:val="18"/>
                <w:lang w:val="en-US" w:eastAsia="zh-CN" w:bidi="ar"/>
              </w:rPr>
              <w:t>km</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4700859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443DF0DF">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自然资源、</w:t>
            </w:r>
            <w:r>
              <w:rPr>
                <w:rFonts w:hint="eastAsia" w:cs="宋体"/>
                <w:color w:val="000000"/>
                <w:kern w:val="0"/>
                <w:sz w:val="18"/>
                <w:szCs w:val="18"/>
                <w:lang w:eastAsia="zh-CN" w:bidi="ar"/>
              </w:rPr>
              <w:t>生态环境</w:t>
            </w:r>
            <w:r>
              <w:rPr>
                <w:rFonts w:hint="eastAsia" w:cs="宋体"/>
                <w:color w:val="000000"/>
                <w:kern w:val="0"/>
                <w:sz w:val="18"/>
                <w:szCs w:val="18"/>
                <w:lang w:bidi="ar"/>
              </w:rPr>
              <w:t>、水务等主管部门</w:t>
            </w:r>
          </w:p>
        </w:tc>
      </w:tr>
      <w:tr w14:paraId="2614326A">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66A5B501">
            <w:pPr>
              <w:spacing w:beforeLines="0"/>
              <w:ind w:firstLine="0" w:firstLineChars="0"/>
              <w:rPr>
                <w:rFonts w:hint="eastAsia" w:cs="宋体"/>
                <w:color w:val="000000"/>
                <w:sz w:val="18"/>
                <w:szCs w:val="18"/>
              </w:rPr>
            </w:pPr>
          </w:p>
        </w:tc>
        <w:tc>
          <w:tcPr>
            <w:tcW w:w="700" w:type="dxa"/>
            <w:vMerge w:val="continue"/>
            <w:tcBorders>
              <w:left w:val="single" w:color="000000" w:sz="4" w:space="0"/>
              <w:right w:val="single" w:color="000000" w:sz="4" w:space="0"/>
            </w:tcBorders>
            <w:vAlign w:val="center"/>
          </w:tcPr>
          <w:p w14:paraId="6610E59B">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2E9EC10D">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历史遗留矿山综合治理面积</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13CA89A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val="en-US" w:eastAsia="zh-CN" w:bidi="ar"/>
              </w:rPr>
              <w:t>km</w:t>
            </w:r>
            <w:r>
              <w:rPr>
                <w:rFonts w:hint="eastAsia" w:cs="宋体"/>
                <w:color w:val="000000"/>
                <w:kern w:val="0"/>
                <w:sz w:val="18"/>
                <w:szCs w:val="18"/>
                <w:vertAlign w:val="superscript"/>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36A5E16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62C7D7D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自然资源主管部门</w:t>
            </w:r>
          </w:p>
        </w:tc>
      </w:tr>
      <w:tr w14:paraId="4ED9FF75">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6CE37076">
            <w:pPr>
              <w:spacing w:beforeLines="0"/>
              <w:ind w:firstLine="0" w:firstLineChars="0"/>
              <w:rPr>
                <w:rFonts w:hint="eastAsia" w:cs="宋体"/>
                <w:color w:val="000000"/>
                <w:sz w:val="18"/>
                <w:szCs w:val="18"/>
              </w:rPr>
            </w:pPr>
          </w:p>
        </w:tc>
        <w:tc>
          <w:tcPr>
            <w:tcW w:w="700" w:type="dxa"/>
            <w:vMerge w:val="continue"/>
            <w:tcBorders>
              <w:left w:val="single" w:color="000000" w:sz="4" w:space="0"/>
              <w:right w:val="single" w:color="000000" w:sz="4" w:space="0"/>
            </w:tcBorders>
            <w:vAlign w:val="center"/>
          </w:tcPr>
          <w:p w14:paraId="122A6A6A">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0AD3FE2D">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水土流失治理面积</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178A0AF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val="en-US" w:eastAsia="zh-CN" w:bidi="ar"/>
              </w:rPr>
              <w:t>km</w:t>
            </w:r>
            <w:r>
              <w:rPr>
                <w:rFonts w:hint="eastAsia" w:cs="宋体"/>
                <w:color w:val="000000"/>
                <w:kern w:val="0"/>
                <w:sz w:val="18"/>
                <w:szCs w:val="18"/>
                <w:vertAlign w:val="superscript"/>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5305BD3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73BA45F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自然资源、农业农村等主管部门</w:t>
            </w:r>
          </w:p>
        </w:tc>
      </w:tr>
      <w:tr w14:paraId="78EBE942">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7363C973">
            <w:pPr>
              <w:spacing w:beforeLines="0"/>
              <w:ind w:firstLine="0" w:firstLineChars="0"/>
              <w:rPr>
                <w:rFonts w:hint="eastAsia" w:cs="宋体"/>
                <w:color w:val="000000"/>
                <w:sz w:val="18"/>
                <w:szCs w:val="18"/>
              </w:rPr>
            </w:pPr>
          </w:p>
        </w:tc>
        <w:tc>
          <w:tcPr>
            <w:tcW w:w="700" w:type="dxa"/>
            <w:vMerge w:val="continue"/>
            <w:tcBorders>
              <w:left w:val="single" w:color="000000" w:sz="4" w:space="0"/>
              <w:right w:val="single" w:color="000000" w:sz="4" w:space="0"/>
            </w:tcBorders>
            <w:vAlign w:val="center"/>
          </w:tcPr>
          <w:p w14:paraId="738534EA">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067EC06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石漠化综合治理面积</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0723614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val="en-US" w:eastAsia="zh-CN" w:bidi="ar"/>
              </w:rPr>
              <w:t>km</w:t>
            </w:r>
            <w:r>
              <w:rPr>
                <w:rFonts w:hint="eastAsia" w:cs="宋体"/>
                <w:color w:val="000000"/>
                <w:kern w:val="0"/>
                <w:sz w:val="18"/>
                <w:szCs w:val="18"/>
                <w:vertAlign w:val="superscript"/>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76901F4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1AC2D39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自然资源等主管部门</w:t>
            </w:r>
          </w:p>
        </w:tc>
      </w:tr>
      <w:tr w14:paraId="028EAAA6">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75317E0C">
            <w:pPr>
              <w:spacing w:beforeLines="0"/>
              <w:ind w:firstLine="0" w:firstLineChars="0"/>
              <w:rPr>
                <w:rFonts w:hint="eastAsia" w:cs="宋体"/>
                <w:color w:val="000000"/>
                <w:sz w:val="18"/>
                <w:szCs w:val="18"/>
              </w:rPr>
            </w:pPr>
          </w:p>
        </w:tc>
        <w:tc>
          <w:tcPr>
            <w:tcW w:w="700" w:type="dxa"/>
            <w:vMerge w:val="continue"/>
            <w:tcBorders>
              <w:left w:val="single" w:color="000000" w:sz="4" w:space="0"/>
              <w:right w:val="single" w:color="000000" w:sz="4" w:space="0"/>
            </w:tcBorders>
            <w:vAlign w:val="center"/>
          </w:tcPr>
          <w:p w14:paraId="530B19CA">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5398925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沙化土地治理面积</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70A2EBD4">
            <w:pPr>
              <w:widowControl/>
              <w:spacing w:before="0" w:beforeLines="0"/>
              <w:ind w:firstLine="0" w:firstLineChars="0"/>
              <w:textAlignment w:val="center"/>
              <w:rPr>
                <w:rFonts w:hint="eastAsia" w:cs="宋体"/>
                <w:color w:val="000000"/>
                <w:sz w:val="18"/>
                <w:szCs w:val="18"/>
              </w:rPr>
            </w:pPr>
            <w:bookmarkStart w:id="506" w:name="OLE_LINK34"/>
            <w:r>
              <w:rPr>
                <w:rFonts w:hint="eastAsia" w:cs="宋体"/>
                <w:color w:val="000000"/>
                <w:kern w:val="0"/>
                <w:sz w:val="18"/>
                <w:szCs w:val="18"/>
                <w:lang w:val="en-US" w:eastAsia="zh-CN" w:bidi="ar"/>
              </w:rPr>
              <w:t>km</w:t>
            </w:r>
            <w:r>
              <w:rPr>
                <w:rFonts w:hint="eastAsia" w:cs="宋体"/>
                <w:color w:val="000000"/>
                <w:kern w:val="0"/>
                <w:sz w:val="18"/>
                <w:szCs w:val="18"/>
                <w:vertAlign w:val="superscript"/>
                <w:lang w:val="en-US" w:eastAsia="zh-CN" w:bidi="ar"/>
              </w:rPr>
              <w:t>2</w:t>
            </w:r>
            <w:bookmarkEnd w:id="506"/>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433E3066">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114B790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自然资源、生态环境等主管部门</w:t>
            </w:r>
          </w:p>
        </w:tc>
      </w:tr>
      <w:tr w14:paraId="213D8D17">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7466E88C">
            <w:pPr>
              <w:spacing w:beforeLines="0"/>
              <w:ind w:firstLine="0" w:firstLineChars="0"/>
              <w:rPr>
                <w:rFonts w:hint="eastAsia" w:cs="宋体"/>
                <w:color w:val="000000"/>
                <w:sz w:val="18"/>
                <w:szCs w:val="18"/>
              </w:rPr>
            </w:pPr>
          </w:p>
        </w:tc>
        <w:tc>
          <w:tcPr>
            <w:tcW w:w="700" w:type="dxa"/>
            <w:vMerge w:val="continue"/>
            <w:tcBorders>
              <w:left w:val="single" w:color="000000" w:sz="4" w:space="0"/>
              <w:right w:val="single" w:color="000000" w:sz="4" w:space="0"/>
            </w:tcBorders>
            <w:vAlign w:val="center"/>
          </w:tcPr>
          <w:p w14:paraId="021D954A">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68A42D12">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耕地质量提升面积</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729B0E63">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val="en-US" w:eastAsia="zh-CN" w:bidi="ar"/>
              </w:rPr>
              <w:t>km</w:t>
            </w:r>
            <w:r>
              <w:rPr>
                <w:rFonts w:hint="eastAsia" w:cs="宋体"/>
                <w:color w:val="000000"/>
                <w:kern w:val="0"/>
                <w:sz w:val="18"/>
                <w:szCs w:val="18"/>
                <w:vertAlign w:val="superscript"/>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0F1105C1">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580CEDA4">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自然资源、</w:t>
            </w:r>
            <w:r>
              <w:rPr>
                <w:rFonts w:hint="eastAsia" w:cs="宋体"/>
                <w:color w:val="000000"/>
                <w:kern w:val="0"/>
                <w:sz w:val="18"/>
                <w:szCs w:val="18"/>
                <w:lang w:eastAsia="zh-CN" w:bidi="ar"/>
              </w:rPr>
              <w:t>生态环境</w:t>
            </w:r>
            <w:r>
              <w:rPr>
                <w:rFonts w:hint="eastAsia" w:cs="宋体"/>
                <w:color w:val="000000"/>
                <w:kern w:val="0"/>
                <w:sz w:val="18"/>
                <w:szCs w:val="18"/>
                <w:lang w:bidi="ar"/>
              </w:rPr>
              <w:t>、水务等主管部门</w:t>
            </w:r>
          </w:p>
        </w:tc>
      </w:tr>
      <w:tr w14:paraId="35B3C146">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bottom w:val="single" w:color="000000" w:sz="4" w:space="0"/>
              <w:right w:val="single" w:color="000000" w:sz="4" w:space="0"/>
            </w:tcBorders>
            <w:noWrap/>
            <w:vAlign w:val="center"/>
          </w:tcPr>
          <w:p w14:paraId="7FFEA93A">
            <w:pPr>
              <w:spacing w:beforeLines="0"/>
              <w:ind w:firstLine="0" w:firstLineChars="0"/>
              <w:rPr>
                <w:rFonts w:hint="eastAsia" w:cs="宋体"/>
                <w:color w:val="000000"/>
                <w:sz w:val="18"/>
                <w:szCs w:val="18"/>
              </w:rPr>
            </w:pPr>
          </w:p>
        </w:tc>
        <w:tc>
          <w:tcPr>
            <w:tcW w:w="700" w:type="dxa"/>
            <w:vMerge w:val="continue"/>
            <w:tcBorders>
              <w:left w:val="single" w:color="000000" w:sz="4" w:space="0"/>
              <w:bottom w:val="single" w:color="000000" w:sz="4" w:space="0"/>
              <w:right w:val="single" w:color="000000" w:sz="4" w:space="0"/>
            </w:tcBorders>
            <w:vAlign w:val="center"/>
          </w:tcPr>
          <w:p w14:paraId="5057BB58">
            <w:pPr>
              <w:spacing w:beforeLines="0"/>
              <w:ind w:firstLine="0" w:firstLineChars="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4075D058">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草原综合治理面积</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475387B2">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val="en-US" w:eastAsia="zh-CN" w:bidi="ar"/>
              </w:rPr>
              <w:t>km</w:t>
            </w:r>
            <w:r>
              <w:rPr>
                <w:rFonts w:hint="eastAsia" w:cs="宋体"/>
                <w:color w:val="000000"/>
                <w:kern w:val="0"/>
                <w:sz w:val="18"/>
                <w:szCs w:val="18"/>
                <w:vertAlign w:val="superscript"/>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2DCB9692">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3FBF5E2D">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自然资源、</w:t>
            </w:r>
            <w:r>
              <w:rPr>
                <w:rFonts w:hint="eastAsia" w:cs="宋体"/>
                <w:color w:val="000000"/>
                <w:kern w:val="0"/>
                <w:sz w:val="18"/>
                <w:szCs w:val="18"/>
                <w:lang w:eastAsia="zh-CN" w:bidi="ar"/>
              </w:rPr>
              <w:t>生态环境</w:t>
            </w:r>
            <w:r>
              <w:rPr>
                <w:rFonts w:hint="eastAsia" w:cs="宋体"/>
                <w:color w:val="000000"/>
                <w:kern w:val="0"/>
                <w:sz w:val="18"/>
                <w:szCs w:val="18"/>
                <w:lang w:bidi="ar"/>
              </w:rPr>
              <w:t>、水务等主管部门</w:t>
            </w:r>
          </w:p>
        </w:tc>
      </w:tr>
      <w:bookmarkEnd w:id="499"/>
      <w:bookmarkEnd w:id="500"/>
      <w:bookmarkEnd w:id="501"/>
      <w:bookmarkEnd w:id="502"/>
      <w:bookmarkEnd w:id="503"/>
      <w:bookmarkEnd w:id="504"/>
      <w:bookmarkEnd w:id="505"/>
    </w:tbl>
    <w:p w14:paraId="63F0C615">
      <w:pPr>
        <w:spacing w:before="156" w:beforeLines="0" w:after="120" w:afterLines="50"/>
        <w:ind w:firstLine="422" w:firstLineChars="0"/>
        <w:jc w:val="center"/>
        <w:rPr>
          <w:rFonts w:ascii="黑体" w:hAnsi="Times New Roman" w:eastAsia="黑体" w:cs="Times New Roman"/>
          <w:kern w:val="0"/>
          <w:szCs w:val="22"/>
        </w:rPr>
      </w:pPr>
    </w:p>
    <w:p w14:paraId="043BC9D4">
      <w:pPr>
        <w:spacing w:before="156" w:beforeLines="0" w:after="120" w:afterLines="50"/>
        <w:ind w:firstLine="422" w:firstLineChars="0"/>
        <w:jc w:val="center"/>
        <w:rPr>
          <w:rFonts w:ascii="黑体" w:hAnsi="Times New Roman" w:eastAsia="黑体" w:cs="Times New Roman"/>
          <w:kern w:val="0"/>
          <w:szCs w:val="22"/>
        </w:rPr>
      </w:pPr>
    </w:p>
    <w:p w14:paraId="01EF0161">
      <w:pPr>
        <w:spacing w:before="156" w:beforeLines="0" w:after="120" w:afterLines="50"/>
        <w:ind w:firstLine="422" w:firstLineChars="0"/>
        <w:jc w:val="center"/>
        <w:rPr>
          <w:rFonts w:ascii="黑体" w:hAnsi="Times New Roman" w:eastAsia="黑体" w:cs="Times New Roman"/>
          <w:kern w:val="0"/>
          <w:szCs w:val="22"/>
        </w:rPr>
      </w:pPr>
    </w:p>
    <w:p w14:paraId="2848D424">
      <w:pPr>
        <w:spacing w:before="156" w:beforeLines="0" w:after="120" w:afterLines="50"/>
        <w:ind w:firstLine="422" w:firstLineChars="0"/>
        <w:jc w:val="center"/>
        <w:rPr>
          <w:rFonts w:ascii="黑体" w:hAnsi="Times New Roman" w:eastAsia="黑体" w:cs="Times New Roman"/>
          <w:kern w:val="0"/>
          <w:szCs w:val="22"/>
        </w:rPr>
      </w:pPr>
      <w:r>
        <w:rPr>
          <w:rFonts w:hint="eastAsia" w:ascii="黑体" w:hAnsi="Times New Roman" w:eastAsia="黑体" w:cs="Times New Roman"/>
          <w:kern w:val="0"/>
          <w:szCs w:val="22"/>
        </w:rPr>
        <w:t>表A.1 国土空间生态修复规划后期评估指标体系及计算方法表（续）</w:t>
      </w:r>
    </w:p>
    <w:tbl>
      <w:tblPr>
        <w:tblStyle w:val="17"/>
        <w:tblW w:w="9731" w:type="dxa"/>
        <w:tblInd w:w="0" w:type="dxa"/>
        <w:tblLayout w:type="fixed"/>
        <w:tblCellMar>
          <w:top w:w="0" w:type="dxa"/>
          <w:left w:w="108" w:type="dxa"/>
          <w:bottom w:w="0" w:type="dxa"/>
          <w:right w:w="108" w:type="dxa"/>
        </w:tblCellMar>
      </w:tblPr>
      <w:tblGrid>
        <w:gridCol w:w="685"/>
        <w:gridCol w:w="700"/>
        <w:gridCol w:w="3393"/>
        <w:gridCol w:w="1079"/>
        <w:gridCol w:w="1139"/>
        <w:gridCol w:w="2735"/>
      </w:tblGrid>
      <w:tr w14:paraId="725B8E53">
        <w:tblPrEx>
          <w:tblCellMar>
            <w:top w:w="0" w:type="dxa"/>
            <w:left w:w="108" w:type="dxa"/>
            <w:bottom w:w="0" w:type="dxa"/>
            <w:right w:w="108" w:type="dxa"/>
          </w:tblCellMar>
        </w:tblPrEx>
        <w:trPr>
          <w:trHeight w:val="282" w:hRule="atLeast"/>
          <w:tblHeader/>
        </w:trPr>
        <w:tc>
          <w:tcPr>
            <w:tcW w:w="685" w:type="dxa"/>
            <w:tcBorders>
              <w:top w:val="single" w:color="000000" w:sz="4" w:space="0"/>
              <w:left w:val="single" w:color="000000" w:sz="4" w:space="0"/>
              <w:right w:val="single" w:color="000000" w:sz="4" w:space="0"/>
            </w:tcBorders>
            <w:noWrap/>
            <w:vAlign w:val="center"/>
          </w:tcPr>
          <w:p w14:paraId="48E9689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一级指标</w:t>
            </w:r>
          </w:p>
        </w:tc>
        <w:tc>
          <w:tcPr>
            <w:tcW w:w="700" w:type="dxa"/>
            <w:tcBorders>
              <w:top w:val="single" w:color="000000" w:sz="4" w:space="0"/>
              <w:left w:val="single" w:color="000000" w:sz="4" w:space="0"/>
              <w:right w:val="single" w:color="000000" w:sz="4" w:space="0"/>
            </w:tcBorders>
            <w:vAlign w:val="center"/>
          </w:tcPr>
          <w:p w14:paraId="57B47D9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二级指标</w:t>
            </w: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32DB28A0">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三级指标</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180636A9">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单位</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2E1046EB">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指标类型</w:t>
            </w:r>
          </w:p>
        </w:tc>
        <w:tc>
          <w:tcPr>
            <w:tcW w:w="2735" w:type="dxa"/>
            <w:tcBorders>
              <w:top w:val="single" w:color="000000" w:sz="4" w:space="0"/>
              <w:left w:val="single" w:color="000000" w:sz="4" w:space="0"/>
              <w:bottom w:val="single" w:color="000000" w:sz="4" w:space="0"/>
              <w:right w:val="single" w:color="000000" w:sz="4" w:space="0"/>
            </w:tcBorders>
            <w:vAlign w:val="center"/>
          </w:tcPr>
          <w:p w14:paraId="7552FBD3">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数据来源/参照规范</w:t>
            </w:r>
          </w:p>
        </w:tc>
      </w:tr>
      <w:tr w14:paraId="01BA01EF">
        <w:tblPrEx>
          <w:tblCellMar>
            <w:top w:w="0" w:type="dxa"/>
            <w:left w:w="108" w:type="dxa"/>
            <w:bottom w:w="0" w:type="dxa"/>
            <w:right w:w="108" w:type="dxa"/>
          </w:tblCellMar>
        </w:tblPrEx>
        <w:trPr>
          <w:trHeight w:val="282" w:hRule="atLeast"/>
          <w:tblHeader/>
        </w:trPr>
        <w:tc>
          <w:tcPr>
            <w:tcW w:w="685" w:type="dxa"/>
            <w:vMerge w:val="restart"/>
            <w:tcBorders>
              <w:top w:val="single" w:color="000000" w:sz="4" w:space="0"/>
              <w:left w:val="single" w:color="000000" w:sz="4" w:space="0"/>
              <w:right w:val="single" w:color="000000" w:sz="4" w:space="0"/>
            </w:tcBorders>
            <w:noWrap/>
            <w:vAlign w:val="center"/>
          </w:tcPr>
          <w:p w14:paraId="5B1BACAA">
            <w:pPr>
              <w:spacing w:beforeLines="0"/>
              <w:ind w:firstLine="360"/>
              <w:rPr>
                <w:rFonts w:hint="eastAsia" w:cs="宋体"/>
                <w:color w:val="000000"/>
                <w:sz w:val="18"/>
                <w:szCs w:val="18"/>
              </w:rPr>
            </w:pPr>
          </w:p>
        </w:tc>
        <w:tc>
          <w:tcPr>
            <w:tcW w:w="700" w:type="dxa"/>
            <w:vMerge w:val="restart"/>
            <w:tcBorders>
              <w:top w:val="single" w:color="000000" w:sz="4" w:space="0"/>
              <w:left w:val="single" w:color="000000" w:sz="4" w:space="0"/>
              <w:right w:val="single" w:color="000000" w:sz="4" w:space="0"/>
            </w:tcBorders>
            <w:vAlign w:val="center"/>
          </w:tcPr>
          <w:p w14:paraId="2952738E">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4695D19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森林质量提升面积</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66A3A303">
            <w:pPr>
              <w:widowControl/>
              <w:spacing w:before="0" w:beforeLines="0"/>
              <w:ind w:firstLine="0" w:firstLineChars="0"/>
              <w:textAlignment w:val="center"/>
              <w:rPr>
                <w:rFonts w:hint="default" w:eastAsia="宋体" w:cs="宋体"/>
                <w:color w:val="000000"/>
                <w:sz w:val="18"/>
                <w:szCs w:val="18"/>
                <w:lang w:val="en-US" w:eastAsia="zh-CN"/>
              </w:rPr>
            </w:pPr>
            <w:r>
              <w:rPr>
                <w:rFonts w:hint="eastAsia" w:cs="宋体"/>
                <w:color w:val="000000"/>
                <w:kern w:val="0"/>
                <w:sz w:val="18"/>
                <w:szCs w:val="18"/>
                <w:lang w:val="en-US" w:eastAsia="zh-CN" w:bidi="ar"/>
              </w:rPr>
              <w:t>km</w:t>
            </w:r>
            <w:r>
              <w:rPr>
                <w:rFonts w:hint="eastAsia" w:cs="宋体"/>
                <w:color w:val="000000"/>
                <w:kern w:val="0"/>
                <w:sz w:val="18"/>
                <w:szCs w:val="18"/>
                <w:vertAlign w:val="superscript"/>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04A29B5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6C0FA46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自然资源、</w:t>
            </w:r>
            <w:r>
              <w:rPr>
                <w:rFonts w:hint="eastAsia" w:cs="宋体"/>
                <w:color w:val="000000"/>
                <w:kern w:val="0"/>
                <w:sz w:val="18"/>
                <w:szCs w:val="18"/>
                <w:lang w:eastAsia="zh-CN" w:bidi="ar"/>
              </w:rPr>
              <w:t>生态环境</w:t>
            </w:r>
            <w:r>
              <w:rPr>
                <w:rFonts w:hint="eastAsia" w:cs="宋体"/>
                <w:color w:val="000000"/>
                <w:kern w:val="0"/>
                <w:sz w:val="18"/>
                <w:szCs w:val="18"/>
                <w:lang w:bidi="ar"/>
              </w:rPr>
              <w:t>、水务等主管部门</w:t>
            </w:r>
          </w:p>
        </w:tc>
      </w:tr>
      <w:tr w14:paraId="6A706748">
        <w:tblPrEx>
          <w:tblCellMar>
            <w:top w:w="0" w:type="dxa"/>
            <w:left w:w="108" w:type="dxa"/>
            <w:bottom w:w="0" w:type="dxa"/>
            <w:right w:w="108" w:type="dxa"/>
          </w:tblCellMar>
        </w:tblPrEx>
        <w:trPr>
          <w:trHeight w:val="282" w:hRule="atLeast"/>
          <w:tblHeader/>
        </w:trPr>
        <w:tc>
          <w:tcPr>
            <w:tcW w:w="685" w:type="dxa"/>
            <w:vMerge w:val="continue"/>
            <w:tcBorders>
              <w:top w:val="single" w:color="000000" w:sz="4" w:space="0"/>
              <w:left w:val="single" w:color="000000" w:sz="4" w:space="0"/>
              <w:bottom w:val="single" w:color="000000" w:sz="4" w:space="0"/>
              <w:right w:val="single" w:color="000000" w:sz="4" w:space="0"/>
            </w:tcBorders>
            <w:noWrap/>
            <w:vAlign w:val="center"/>
          </w:tcPr>
          <w:p w14:paraId="0656246D">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51F8FFA8">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6FCDEC4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湿地修复面积</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1C17C37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val="en-US" w:eastAsia="zh-CN" w:bidi="ar"/>
              </w:rPr>
              <w:t>km</w:t>
            </w:r>
            <w:r>
              <w:rPr>
                <w:rFonts w:hint="eastAsia" w:cs="宋体"/>
                <w:color w:val="000000"/>
                <w:kern w:val="0"/>
                <w:sz w:val="18"/>
                <w:szCs w:val="18"/>
                <w:vertAlign w:val="superscript"/>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53431DA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6D194E9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自然资源、</w:t>
            </w:r>
            <w:r>
              <w:rPr>
                <w:rFonts w:hint="eastAsia" w:cs="宋体"/>
                <w:color w:val="000000"/>
                <w:kern w:val="0"/>
                <w:sz w:val="18"/>
                <w:szCs w:val="18"/>
                <w:lang w:eastAsia="zh-CN" w:bidi="ar"/>
              </w:rPr>
              <w:t>生态环境</w:t>
            </w:r>
            <w:r>
              <w:rPr>
                <w:rFonts w:hint="eastAsia" w:cs="宋体"/>
                <w:color w:val="000000"/>
                <w:kern w:val="0"/>
                <w:sz w:val="18"/>
                <w:szCs w:val="18"/>
                <w:lang w:bidi="ar"/>
              </w:rPr>
              <w:t>、水务等主管部门</w:t>
            </w:r>
          </w:p>
        </w:tc>
      </w:tr>
      <w:tr w14:paraId="0A4127AA">
        <w:tblPrEx>
          <w:tblCellMar>
            <w:top w:w="0" w:type="dxa"/>
            <w:left w:w="108" w:type="dxa"/>
            <w:bottom w:w="0" w:type="dxa"/>
            <w:right w:w="108" w:type="dxa"/>
          </w:tblCellMar>
        </w:tblPrEx>
        <w:trPr>
          <w:trHeight w:val="282" w:hRule="atLeast"/>
          <w:tblHeader/>
        </w:trPr>
        <w:tc>
          <w:tcPr>
            <w:tcW w:w="685" w:type="dxa"/>
            <w:vMerge w:val="continue"/>
            <w:tcBorders>
              <w:top w:val="single" w:color="000000" w:sz="4" w:space="0"/>
              <w:left w:val="single" w:color="000000" w:sz="4" w:space="0"/>
              <w:bottom w:val="single" w:color="000000" w:sz="4" w:space="0"/>
              <w:right w:val="single" w:color="000000" w:sz="4" w:space="0"/>
            </w:tcBorders>
            <w:noWrap/>
            <w:vAlign w:val="center"/>
          </w:tcPr>
          <w:p w14:paraId="7A981078">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60CF2D17">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073B59AD">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污染地块安全利用率</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5C7A146F">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5C7BBD8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3CDA522E">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自然资源、</w:t>
            </w:r>
            <w:r>
              <w:rPr>
                <w:rFonts w:hint="eastAsia" w:cs="宋体"/>
                <w:color w:val="000000"/>
                <w:kern w:val="0"/>
                <w:sz w:val="18"/>
                <w:szCs w:val="18"/>
                <w:lang w:eastAsia="zh-CN" w:bidi="ar"/>
              </w:rPr>
              <w:t>生态环境</w:t>
            </w:r>
            <w:r>
              <w:rPr>
                <w:rFonts w:hint="eastAsia" w:cs="宋体"/>
                <w:color w:val="000000"/>
                <w:kern w:val="0"/>
                <w:sz w:val="18"/>
                <w:szCs w:val="18"/>
                <w:lang w:bidi="ar"/>
              </w:rPr>
              <w:t>、水务等主管部门</w:t>
            </w:r>
          </w:p>
        </w:tc>
      </w:tr>
      <w:tr w14:paraId="2B6A9340">
        <w:tblPrEx>
          <w:tblCellMar>
            <w:top w:w="0" w:type="dxa"/>
            <w:left w:w="108" w:type="dxa"/>
            <w:bottom w:w="0" w:type="dxa"/>
            <w:right w:w="108" w:type="dxa"/>
          </w:tblCellMar>
        </w:tblPrEx>
        <w:trPr>
          <w:trHeight w:val="282" w:hRule="atLeast"/>
          <w:tblHeader/>
        </w:trPr>
        <w:tc>
          <w:tcPr>
            <w:tcW w:w="685" w:type="dxa"/>
            <w:vMerge w:val="continue"/>
            <w:tcBorders>
              <w:top w:val="single" w:color="000000" w:sz="4" w:space="0"/>
              <w:left w:val="single" w:color="000000" w:sz="4" w:space="0"/>
              <w:bottom w:val="single" w:color="000000" w:sz="4" w:space="0"/>
              <w:right w:val="single" w:color="000000" w:sz="4" w:space="0"/>
            </w:tcBorders>
            <w:noWrap/>
            <w:vAlign w:val="center"/>
          </w:tcPr>
          <w:p w14:paraId="408171DD">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0B5EEC78">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3463102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重要生态廊道修复或建设面积</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4C12C7AB">
            <w:pPr>
              <w:widowControl/>
              <w:spacing w:before="0" w:beforeLines="0"/>
              <w:ind w:firstLine="0" w:firstLineChars="0"/>
              <w:textAlignment w:val="center"/>
              <w:rPr>
                <w:rFonts w:hint="eastAsia" w:cs="宋体"/>
                <w:color w:val="000000"/>
                <w:sz w:val="18"/>
                <w:szCs w:val="18"/>
              </w:rPr>
            </w:pPr>
            <w:bookmarkStart w:id="507" w:name="OLE_LINK33"/>
            <w:r>
              <w:rPr>
                <w:rFonts w:hint="eastAsia" w:cs="宋体"/>
                <w:color w:val="000000"/>
                <w:kern w:val="0"/>
                <w:sz w:val="18"/>
                <w:szCs w:val="18"/>
                <w:lang w:val="en-US" w:eastAsia="zh-CN" w:bidi="ar"/>
              </w:rPr>
              <w:t>km</w:t>
            </w:r>
            <w:r>
              <w:rPr>
                <w:rFonts w:hint="eastAsia" w:cs="宋体"/>
                <w:color w:val="000000"/>
                <w:kern w:val="0"/>
                <w:sz w:val="18"/>
                <w:szCs w:val="18"/>
                <w:vertAlign w:val="superscript"/>
                <w:lang w:val="en-US" w:eastAsia="zh-CN" w:bidi="ar"/>
              </w:rPr>
              <w:t>2</w:t>
            </w:r>
            <w:bookmarkEnd w:id="507"/>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3080E27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7FA0A3E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自然资源、</w:t>
            </w:r>
            <w:r>
              <w:rPr>
                <w:rFonts w:hint="eastAsia" w:cs="宋体"/>
                <w:color w:val="000000"/>
                <w:kern w:val="0"/>
                <w:sz w:val="18"/>
                <w:szCs w:val="18"/>
                <w:lang w:eastAsia="zh-CN" w:bidi="ar"/>
              </w:rPr>
              <w:t>生态环境</w:t>
            </w:r>
            <w:r>
              <w:rPr>
                <w:rFonts w:hint="eastAsia" w:cs="宋体"/>
                <w:color w:val="000000"/>
                <w:kern w:val="0"/>
                <w:sz w:val="18"/>
                <w:szCs w:val="18"/>
                <w:lang w:bidi="ar"/>
              </w:rPr>
              <w:t>、水务等主管部门</w:t>
            </w:r>
          </w:p>
        </w:tc>
      </w:tr>
      <w:tr w14:paraId="5EB9C0EA">
        <w:tblPrEx>
          <w:tblCellMar>
            <w:top w:w="0" w:type="dxa"/>
            <w:left w:w="108" w:type="dxa"/>
            <w:bottom w:w="0" w:type="dxa"/>
            <w:right w:w="108" w:type="dxa"/>
          </w:tblCellMar>
        </w:tblPrEx>
        <w:trPr>
          <w:trHeight w:val="282" w:hRule="atLeast"/>
          <w:tblHeader/>
        </w:trPr>
        <w:tc>
          <w:tcPr>
            <w:tcW w:w="685" w:type="dxa"/>
            <w:vMerge w:val="continue"/>
            <w:tcBorders>
              <w:top w:val="single" w:color="000000" w:sz="4" w:space="0"/>
              <w:left w:val="single" w:color="000000" w:sz="4" w:space="0"/>
              <w:bottom w:val="single" w:color="000000" w:sz="4" w:space="0"/>
              <w:right w:val="single" w:color="000000" w:sz="4" w:space="0"/>
            </w:tcBorders>
            <w:noWrap/>
            <w:vAlign w:val="center"/>
          </w:tcPr>
          <w:p w14:paraId="4F49F2DA">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6ABFA63F">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4D0B457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野生动物重要栖息地面积增长</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5414F85E">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055A5B7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5D3D478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自然资源、</w:t>
            </w:r>
            <w:r>
              <w:rPr>
                <w:rFonts w:hint="eastAsia" w:cs="宋体"/>
                <w:color w:val="000000"/>
                <w:kern w:val="0"/>
                <w:sz w:val="18"/>
                <w:szCs w:val="18"/>
                <w:lang w:eastAsia="zh-CN" w:bidi="ar"/>
              </w:rPr>
              <w:t>生态环境</w:t>
            </w:r>
            <w:r>
              <w:rPr>
                <w:rFonts w:hint="eastAsia" w:cs="宋体"/>
                <w:color w:val="000000"/>
                <w:kern w:val="0"/>
                <w:sz w:val="18"/>
                <w:szCs w:val="18"/>
                <w:lang w:bidi="ar"/>
              </w:rPr>
              <w:t>、水务等主管部门</w:t>
            </w:r>
          </w:p>
        </w:tc>
      </w:tr>
      <w:tr w14:paraId="3577FD84">
        <w:tblPrEx>
          <w:tblCellMar>
            <w:top w:w="0" w:type="dxa"/>
            <w:left w:w="108" w:type="dxa"/>
            <w:bottom w:w="0" w:type="dxa"/>
            <w:right w:w="108" w:type="dxa"/>
          </w:tblCellMar>
        </w:tblPrEx>
        <w:trPr>
          <w:trHeight w:val="282" w:hRule="atLeast"/>
          <w:tblHeader/>
        </w:trPr>
        <w:tc>
          <w:tcPr>
            <w:tcW w:w="685" w:type="dxa"/>
            <w:vMerge w:val="continue"/>
            <w:tcBorders>
              <w:top w:val="single" w:color="000000" w:sz="4" w:space="0"/>
              <w:left w:val="single" w:color="000000" w:sz="4" w:space="0"/>
              <w:bottom w:val="single" w:color="000000" w:sz="4" w:space="0"/>
              <w:right w:val="single" w:color="000000" w:sz="4" w:space="0"/>
            </w:tcBorders>
            <w:noWrap/>
            <w:vAlign w:val="center"/>
          </w:tcPr>
          <w:p w14:paraId="73626E12">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4F081E55">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4FB6BBF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7955237F">
            <w:pPr>
              <w:spacing w:beforeLines="0"/>
              <w:ind w:firstLine="360"/>
              <w:rPr>
                <w:rFonts w:hint="eastAsia" w:cs="宋体"/>
                <w:color w:val="000000"/>
                <w:sz w:val="18"/>
                <w:szCs w:val="18"/>
              </w:rPr>
            </w:pP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33191D68">
            <w:pPr>
              <w:spacing w:beforeLines="0"/>
              <w:ind w:firstLine="360"/>
              <w:rPr>
                <w:rFonts w:hint="eastAsia" w:cs="宋体"/>
                <w:color w:val="000000"/>
                <w:sz w:val="18"/>
                <w:szCs w:val="18"/>
              </w:rPr>
            </w:pPr>
          </w:p>
        </w:tc>
        <w:tc>
          <w:tcPr>
            <w:tcW w:w="2735" w:type="dxa"/>
            <w:tcBorders>
              <w:top w:val="single" w:color="000000" w:sz="4" w:space="0"/>
              <w:left w:val="single" w:color="000000" w:sz="4" w:space="0"/>
              <w:bottom w:val="single" w:color="000000" w:sz="4" w:space="0"/>
              <w:right w:val="single" w:color="000000" w:sz="4" w:space="0"/>
            </w:tcBorders>
            <w:noWrap/>
            <w:vAlign w:val="center"/>
          </w:tcPr>
          <w:p w14:paraId="75A6C14B">
            <w:pPr>
              <w:spacing w:beforeLines="0"/>
              <w:ind w:firstLine="360"/>
              <w:rPr>
                <w:rFonts w:hint="eastAsia" w:cs="宋体"/>
                <w:color w:val="000000"/>
                <w:sz w:val="18"/>
                <w:szCs w:val="18"/>
              </w:rPr>
            </w:pPr>
          </w:p>
        </w:tc>
      </w:tr>
      <w:tr w14:paraId="761F32CE">
        <w:tblPrEx>
          <w:tblCellMar>
            <w:top w:w="0" w:type="dxa"/>
            <w:left w:w="108" w:type="dxa"/>
            <w:bottom w:w="0" w:type="dxa"/>
            <w:right w:w="108" w:type="dxa"/>
          </w:tblCellMar>
        </w:tblPrEx>
        <w:trPr>
          <w:trHeight w:val="317" w:hRule="atLeast"/>
          <w:tblHeader/>
        </w:trPr>
        <w:tc>
          <w:tcPr>
            <w:tcW w:w="685" w:type="dxa"/>
            <w:vMerge w:val="restart"/>
            <w:tcBorders>
              <w:top w:val="single" w:color="000000" w:sz="4" w:space="0"/>
              <w:left w:val="single" w:color="000000" w:sz="4" w:space="0"/>
              <w:right w:val="single" w:color="000000" w:sz="4" w:space="0"/>
            </w:tcBorders>
            <w:vAlign w:val="center"/>
          </w:tcPr>
          <w:p w14:paraId="79DE9334">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生态效果类</w:t>
            </w:r>
          </w:p>
          <w:p w14:paraId="6FF5F679">
            <w:pPr>
              <w:widowControl/>
              <w:spacing w:before="0" w:beforeLines="0"/>
              <w:ind w:firstLine="0" w:firstLineChars="0"/>
              <w:textAlignment w:val="center"/>
              <w:rPr>
                <w:rFonts w:hint="eastAsia" w:cs="宋体"/>
                <w:color w:val="000000"/>
                <w:sz w:val="18"/>
                <w:szCs w:val="18"/>
              </w:rPr>
            </w:pP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14:paraId="21D22B6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生态系统服务</w:t>
            </w:r>
          </w:p>
        </w:tc>
        <w:tc>
          <w:tcPr>
            <w:tcW w:w="3393" w:type="dxa"/>
            <w:tcBorders>
              <w:top w:val="single" w:color="000000" w:sz="4" w:space="0"/>
              <w:left w:val="single" w:color="000000" w:sz="4" w:space="0"/>
              <w:bottom w:val="single" w:color="000000" w:sz="4" w:space="0"/>
              <w:right w:val="single" w:color="000000" w:sz="4" w:space="0"/>
            </w:tcBorders>
            <w:vAlign w:val="center"/>
          </w:tcPr>
          <w:p w14:paraId="1DF66E6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水源涵养服务变化情况</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60DDADA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m</w:t>
            </w:r>
            <w:r>
              <w:rPr>
                <w:rFonts w:hint="eastAsia" w:cs="宋体"/>
                <w:color w:val="000000"/>
                <w:kern w:val="0"/>
                <w:sz w:val="18"/>
                <w:szCs w:val="18"/>
                <w:vertAlign w:val="superscript"/>
                <w:lang w:bidi="ar"/>
              </w:rPr>
              <w:t>3</w:t>
            </w:r>
            <w:r>
              <w:rPr>
                <w:rFonts w:hint="eastAsia" w:cs="宋体"/>
                <w:color w:val="000000"/>
                <w:kern w:val="0"/>
                <w:sz w:val="18"/>
                <w:szCs w:val="18"/>
                <w:lang w:bidi="ar"/>
              </w:rPr>
              <w:t>/a</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0E0E6316">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3A27F4A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参考GB/T 43678</w:t>
            </w:r>
          </w:p>
        </w:tc>
      </w:tr>
      <w:tr w14:paraId="13132882">
        <w:tblPrEx>
          <w:tblCellMar>
            <w:top w:w="0" w:type="dxa"/>
            <w:left w:w="108" w:type="dxa"/>
            <w:bottom w:w="0" w:type="dxa"/>
            <w:right w:w="108" w:type="dxa"/>
          </w:tblCellMar>
        </w:tblPrEx>
        <w:trPr>
          <w:trHeight w:val="317" w:hRule="atLeast"/>
          <w:tblHeader/>
        </w:trPr>
        <w:tc>
          <w:tcPr>
            <w:tcW w:w="685" w:type="dxa"/>
            <w:vMerge w:val="continue"/>
            <w:tcBorders>
              <w:left w:val="single" w:color="000000" w:sz="4" w:space="0"/>
              <w:right w:val="single" w:color="000000" w:sz="4" w:space="0"/>
            </w:tcBorders>
            <w:vAlign w:val="center"/>
          </w:tcPr>
          <w:p w14:paraId="082F98EB">
            <w:pPr>
              <w:widowControl/>
              <w:spacing w:before="0" w:beforeLines="0"/>
              <w:ind w:firstLine="0" w:firstLineChars="0"/>
              <w:textAlignment w:val="center"/>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5030164E">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07ACB3D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洪水调蓄服务变化情况</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71D00E8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m</w:t>
            </w:r>
            <w:r>
              <w:rPr>
                <w:rFonts w:hint="eastAsia" w:cs="宋体"/>
                <w:color w:val="000000"/>
                <w:kern w:val="0"/>
                <w:sz w:val="18"/>
                <w:szCs w:val="18"/>
                <w:vertAlign w:val="superscript"/>
                <w:lang w:bidi="ar"/>
              </w:rPr>
              <w:t>3</w:t>
            </w:r>
            <w:r>
              <w:rPr>
                <w:rFonts w:hint="eastAsia" w:cs="宋体"/>
                <w:color w:val="000000"/>
                <w:kern w:val="0"/>
                <w:sz w:val="18"/>
                <w:szCs w:val="18"/>
                <w:lang w:bidi="ar"/>
              </w:rPr>
              <w:t>/a</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3F258AB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284A2B8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参考GB/T 43678</w:t>
            </w:r>
          </w:p>
        </w:tc>
      </w:tr>
      <w:tr w14:paraId="160988BE">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0724FA7F">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65342D7D">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358A4EC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防风固沙服务变化情况</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6D29A42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t/a</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5183C8EE">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6955CF6F">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参考GB/T 43678</w:t>
            </w:r>
          </w:p>
        </w:tc>
      </w:tr>
      <w:tr w14:paraId="5C0E6155">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0985BAA9">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15F91F43">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71190F3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土壤保持服务变化情况</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3A5FFE0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t/a</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73D0EFBE">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6FA7063F">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参考GB/T 43678</w:t>
            </w:r>
          </w:p>
        </w:tc>
      </w:tr>
      <w:tr w14:paraId="6008F438">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40A77683">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6DF6BA05">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1CB1B6F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固碳服务变化情况</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046D02C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t•C/a</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61ED86B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1EC155B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参考GB/T 43678</w:t>
            </w:r>
          </w:p>
        </w:tc>
      </w:tr>
      <w:tr w14:paraId="3CEB0231">
        <w:tblPrEx>
          <w:tblCellMar>
            <w:top w:w="0" w:type="dxa"/>
            <w:left w:w="108" w:type="dxa"/>
            <w:bottom w:w="0" w:type="dxa"/>
            <w:right w:w="108" w:type="dxa"/>
          </w:tblCellMar>
        </w:tblPrEx>
        <w:trPr>
          <w:trHeight w:val="566" w:hRule="atLeast"/>
          <w:tblHeader/>
        </w:trPr>
        <w:tc>
          <w:tcPr>
            <w:tcW w:w="685" w:type="dxa"/>
            <w:vMerge w:val="continue"/>
            <w:tcBorders>
              <w:left w:val="single" w:color="000000" w:sz="4" w:space="0"/>
              <w:right w:val="single" w:color="000000" w:sz="4" w:space="0"/>
            </w:tcBorders>
            <w:noWrap/>
            <w:vAlign w:val="center"/>
          </w:tcPr>
          <w:p w14:paraId="3A978387">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7E1316C8">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07BFC2BF">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物种丰富度变化情况</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5F22521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类</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32BE6F0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55599DC6">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遥感实地调查以及自然资源、生态环境等主管部门</w:t>
            </w:r>
          </w:p>
        </w:tc>
      </w:tr>
      <w:tr w14:paraId="6F9EEFFF">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7FED7463">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26D4893F">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62FB3BF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311E2DBF">
            <w:pPr>
              <w:spacing w:beforeLines="0"/>
              <w:ind w:firstLine="360"/>
              <w:rPr>
                <w:rFonts w:hint="eastAsia" w:cs="宋体"/>
                <w:color w:val="000000"/>
                <w:sz w:val="18"/>
                <w:szCs w:val="18"/>
              </w:rPr>
            </w:pP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1183D6B6">
            <w:pPr>
              <w:spacing w:beforeLines="0"/>
              <w:ind w:firstLine="360"/>
              <w:rPr>
                <w:rFonts w:hint="eastAsia" w:cs="宋体"/>
                <w:color w:val="000000"/>
                <w:sz w:val="18"/>
                <w:szCs w:val="18"/>
              </w:rPr>
            </w:pPr>
          </w:p>
        </w:tc>
        <w:tc>
          <w:tcPr>
            <w:tcW w:w="2735" w:type="dxa"/>
            <w:tcBorders>
              <w:top w:val="single" w:color="000000" w:sz="4" w:space="0"/>
              <w:left w:val="single" w:color="000000" w:sz="4" w:space="0"/>
              <w:bottom w:val="single" w:color="000000" w:sz="4" w:space="0"/>
              <w:right w:val="single" w:color="000000" w:sz="4" w:space="0"/>
            </w:tcBorders>
            <w:noWrap/>
            <w:vAlign w:val="center"/>
          </w:tcPr>
          <w:p w14:paraId="46A050D2">
            <w:pPr>
              <w:spacing w:beforeLines="0"/>
              <w:ind w:firstLine="360"/>
              <w:rPr>
                <w:rFonts w:hint="eastAsia" w:cs="宋体"/>
                <w:color w:val="000000"/>
                <w:sz w:val="18"/>
                <w:szCs w:val="18"/>
              </w:rPr>
            </w:pPr>
          </w:p>
        </w:tc>
      </w:tr>
      <w:tr w14:paraId="28D400F0">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right w:val="single" w:color="000000" w:sz="4" w:space="0"/>
            </w:tcBorders>
            <w:noWrap/>
            <w:vAlign w:val="center"/>
          </w:tcPr>
          <w:p w14:paraId="005A851D">
            <w:pPr>
              <w:spacing w:beforeLines="0"/>
              <w:ind w:firstLine="360"/>
              <w:rPr>
                <w:rFonts w:hint="eastAsia" w:cs="宋体"/>
                <w:color w:val="000000"/>
                <w:sz w:val="18"/>
                <w:szCs w:val="18"/>
              </w:rPr>
            </w:pP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14:paraId="487406D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景观格局</w:t>
            </w: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59914DF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景观破碎度变化情况</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381E781D">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2A8B217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0E723E7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参考HJ 1173</w:t>
            </w:r>
          </w:p>
        </w:tc>
      </w:tr>
      <w:tr w14:paraId="4F0744D5">
        <w:tblPrEx>
          <w:tblCellMar>
            <w:top w:w="0" w:type="dxa"/>
            <w:left w:w="108" w:type="dxa"/>
            <w:bottom w:w="0" w:type="dxa"/>
            <w:right w:w="108" w:type="dxa"/>
          </w:tblCellMar>
        </w:tblPrEx>
        <w:trPr>
          <w:trHeight w:val="549" w:hRule="atLeast"/>
          <w:tblHeader/>
        </w:trPr>
        <w:tc>
          <w:tcPr>
            <w:tcW w:w="685" w:type="dxa"/>
            <w:vMerge w:val="continue"/>
            <w:tcBorders>
              <w:left w:val="single" w:color="000000" w:sz="4" w:space="0"/>
              <w:right w:val="single" w:color="000000" w:sz="4" w:space="0"/>
            </w:tcBorders>
            <w:noWrap/>
            <w:vAlign w:val="center"/>
          </w:tcPr>
          <w:p w14:paraId="123E7918">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1015F7CE">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77BA90F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景观多样性变化情况</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7B3EA05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0DA9934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39801DFF">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遥感实地调查以及自然资源、生态环境等主管部门</w:t>
            </w:r>
          </w:p>
        </w:tc>
      </w:tr>
      <w:tr w14:paraId="1B5B576D">
        <w:tblPrEx>
          <w:tblCellMar>
            <w:top w:w="0" w:type="dxa"/>
            <w:left w:w="108" w:type="dxa"/>
            <w:bottom w:w="0" w:type="dxa"/>
            <w:right w:w="108" w:type="dxa"/>
          </w:tblCellMar>
        </w:tblPrEx>
        <w:trPr>
          <w:trHeight w:val="549" w:hRule="atLeast"/>
          <w:tblHeader/>
        </w:trPr>
        <w:tc>
          <w:tcPr>
            <w:tcW w:w="685" w:type="dxa"/>
            <w:vMerge w:val="continue"/>
            <w:tcBorders>
              <w:left w:val="single" w:color="000000" w:sz="4" w:space="0"/>
              <w:right w:val="single" w:color="000000" w:sz="4" w:space="0"/>
            </w:tcBorders>
            <w:noWrap/>
            <w:vAlign w:val="center"/>
          </w:tcPr>
          <w:p w14:paraId="0288069A">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527C2C6E">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3234E50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景观稳定性变化情况</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340F2C51">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62EDF57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38D0EBB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遥感实地调查以及自然资源、生态环境等主管部门</w:t>
            </w:r>
          </w:p>
        </w:tc>
      </w:tr>
      <w:tr w14:paraId="34100571">
        <w:tblPrEx>
          <w:tblCellMar>
            <w:top w:w="0" w:type="dxa"/>
            <w:left w:w="108" w:type="dxa"/>
            <w:bottom w:w="0" w:type="dxa"/>
            <w:right w:w="108" w:type="dxa"/>
          </w:tblCellMar>
        </w:tblPrEx>
        <w:trPr>
          <w:trHeight w:val="549" w:hRule="atLeast"/>
          <w:tblHeader/>
        </w:trPr>
        <w:tc>
          <w:tcPr>
            <w:tcW w:w="685" w:type="dxa"/>
            <w:vMerge w:val="continue"/>
            <w:tcBorders>
              <w:left w:val="single" w:color="000000" w:sz="4" w:space="0"/>
              <w:right w:val="single" w:color="000000" w:sz="4" w:space="0"/>
            </w:tcBorders>
            <w:noWrap/>
            <w:vAlign w:val="center"/>
          </w:tcPr>
          <w:p w14:paraId="2A2468B0">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004E204F">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36BA0A8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自然生境连通性变化情况</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795810DF">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4630B79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483E8FF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遥感实地调查以及自然资源、生态环境等主管部门</w:t>
            </w:r>
          </w:p>
        </w:tc>
      </w:tr>
      <w:tr w14:paraId="59C14A3E">
        <w:tblPrEx>
          <w:tblCellMar>
            <w:top w:w="0" w:type="dxa"/>
            <w:left w:w="108" w:type="dxa"/>
            <w:bottom w:w="0" w:type="dxa"/>
            <w:right w:w="108" w:type="dxa"/>
          </w:tblCellMar>
        </w:tblPrEx>
        <w:trPr>
          <w:trHeight w:val="282" w:hRule="atLeast"/>
          <w:tblHeader/>
        </w:trPr>
        <w:tc>
          <w:tcPr>
            <w:tcW w:w="685" w:type="dxa"/>
            <w:vMerge w:val="continue"/>
            <w:tcBorders>
              <w:left w:val="single" w:color="000000" w:sz="4" w:space="0"/>
              <w:bottom w:val="single" w:color="000000" w:sz="4" w:space="0"/>
              <w:right w:val="single" w:color="000000" w:sz="4" w:space="0"/>
            </w:tcBorders>
            <w:noWrap/>
            <w:vAlign w:val="center"/>
          </w:tcPr>
          <w:p w14:paraId="6034B445">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605B9A11">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2846A98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7C3D6A0B">
            <w:pPr>
              <w:spacing w:beforeLines="0"/>
              <w:ind w:firstLine="360"/>
              <w:rPr>
                <w:rFonts w:hint="eastAsia" w:cs="宋体"/>
                <w:color w:val="000000"/>
                <w:sz w:val="18"/>
                <w:szCs w:val="18"/>
              </w:rPr>
            </w:pP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67333826">
            <w:pPr>
              <w:spacing w:beforeLines="0"/>
              <w:ind w:firstLine="360"/>
              <w:rPr>
                <w:rFonts w:hint="eastAsia" w:cs="宋体"/>
                <w:color w:val="000000"/>
                <w:sz w:val="18"/>
                <w:szCs w:val="18"/>
              </w:rPr>
            </w:pPr>
          </w:p>
        </w:tc>
        <w:tc>
          <w:tcPr>
            <w:tcW w:w="2735" w:type="dxa"/>
            <w:tcBorders>
              <w:top w:val="single" w:color="000000" w:sz="4" w:space="0"/>
              <w:left w:val="single" w:color="000000" w:sz="4" w:space="0"/>
              <w:bottom w:val="single" w:color="000000" w:sz="4" w:space="0"/>
              <w:right w:val="single" w:color="000000" w:sz="4" w:space="0"/>
            </w:tcBorders>
            <w:noWrap/>
            <w:vAlign w:val="center"/>
          </w:tcPr>
          <w:p w14:paraId="2BA658A9">
            <w:pPr>
              <w:spacing w:beforeLines="0"/>
              <w:ind w:firstLine="360"/>
              <w:rPr>
                <w:rFonts w:hint="eastAsia" w:cs="宋体"/>
                <w:color w:val="000000"/>
                <w:sz w:val="18"/>
                <w:szCs w:val="18"/>
              </w:rPr>
            </w:pPr>
          </w:p>
        </w:tc>
      </w:tr>
      <w:tr w14:paraId="7453079E">
        <w:tblPrEx>
          <w:tblCellMar>
            <w:top w:w="0" w:type="dxa"/>
            <w:left w:w="108" w:type="dxa"/>
            <w:bottom w:w="0" w:type="dxa"/>
            <w:right w:w="108" w:type="dxa"/>
          </w:tblCellMar>
        </w:tblPrEx>
        <w:trPr>
          <w:trHeight w:val="282" w:hRule="atLeast"/>
          <w:tblHeader/>
        </w:trPr>
        <w:tc>
          <w:tcPr>
            <w:tcW w:w="685" w:type="dxa"/>
            <w:vMerge w:val="restart"/>
            <w:tcBorders>
              <w:top w:val="single" w:color="000000" w:sz="4" w:space="0"/>
              <w:left w:val="single" w:color="000000" w:sz="4" w:space="0"/>
              <w:bottom w:val="single" w:color="000000" w:sz="4" w:space="0"/>
              <w:right w:val="single" w:color="000000" w:sz="4" w:space="0"/>
            </w:tcBorders>
            <w:vAlign w:val="center"/>
          </w:tcPr>
          <w:p w14:paraId="3E08EC2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经济社会效果类</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14:paraId="30AE669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社会效果类</w:t>
            </w:r>
          </w:p>
        </w:tc>
        <w:tc>
          <w:tcPr>
            <w:tcW w:w="3393" w:type="dxa"/>
            <w:tcBorders>
              <w:top w:val="single" w:color="000000" w:sz="4" w:space="0"/>
              <w:left w:val="single" w:color="000000" w:sz="4" w:space="0"/>
              <w:bottom w:val="single" w:color="000000" w:sz="4" w:space="0"/>
              <w:right w:val="single" w:color="000000" w:sz="4" w:space="0"/>
            </w:tcBorders>
            <w:vAlign w:val="center"/>
          </w:tcPr>
          <w:p w14:paraId="7474088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人均公园绿地面积</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2242CA6E">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val="en-US" w:eastAsia="zh-CN" w:bidi="ar"/>
              </w:rPr>
              <w:t>m</w:t>
            </w:r>
            <w:r>
              <w:rPr>
                <w:rFonts w:hint="eastAsia" w:cs="宋体"/>
                <w:color w:val="000000"/>
                <w:kern w:val="0"/>
                <w:sz w:val="18"/>
                <w:szCs w:val="18"/>
                <w:vertAlign w:val="superscript"/>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33BBBF41">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0015736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全国国土调查及年度变更调查等</w:t>
            </w:r>
          </w:p>
        </w:tc>
      </w:tr>
      <w:tr w14:paraId="05B43900">
        <w:tblPrEx>
          <w:tblCellMar>
            <w:top w:w="0" w:type="dxa"/>
            <w:left w:w="108" w:type="dxa"/>
            <w:bottom w:w="0" w:type="dxa"/>
            <w:right w:w="108" w:type="dxa"/>
          </w:tblCellMar>
        </w:tblPrEx>
        <w:trPr>
          <w:trHeight w:val="282" w:hRule="atLeast"/>
          <w:tblHeader/>
        </w:trPr>
        <w:tc>
          <w:tcPr>
            <w:tcW w:w="685" w:type="dxa"/>
            <w:vMerge w:val="continue"/>
            <w:tcBorders>
              <w:top w:val="single" w:color="000000" w:sz="4" w:space="0"/>
              <w:left w:val="single" w:color="000000" w:sz="4" w:space="0"/>
              <w:bottom w:val="single" w:color="000000" w:sz="4" w:space="0"/>
              <w:right w:val="single" w:color="000000" w:sz="4" w:space="0"/>
            </w:tcBorders>
            <w:vAlign w:val="center"/>
          </w:tcPr>
          <w:p w14:paraId="112C52D0">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6E2953E4">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vAlign w:val="center"/>
          </w:tcPr>
          <w:p w14:paraId="791C434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城区公园绿地、广场步行5分钟覆盖率</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47B7980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1D4045A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10D232A6">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全国国土调查及年度变更调查等</w:t>
            </w:r>
          </w:p>
        </w:tc>
      </w:tr>
      <w:tr w14:paraId="2F566293">
        <w:tblPrEx>
          <w:tblCellMar>
            <w:top w:w="0" w:type="dxa"/>
            <w:left w:w="108" w:type="dxa"/>
            <w:bottom w:w="0" w:type="dxa"/>
            <w:right w:w="108" w:type="dxa"/>
          </w:tblCellMar>
        </w:tblPrEx>
        <w:trPr>
          <w:trHeight w:val="549" w:hRule="atLeast"/>
          <w:tblHeader/>
        </w:trPr>
        <w:tc>
          <w:tcPr>
            <w:tcW w:w="685" w:type="dxa"/>
            <w:vMerge w:val="continue"/>
            <w:tcBorders>
              <w:top w:val="single" w:color="000000" w:sz="4" w:space="0"/>
              <w:left w:val="single" w:color="000000" w:sz="4" w:space="0"/>
              <w:bottom w:val="single" w:color="000000" w:sz="4" w:space="0"/>
              <w:right w:val="single" w:color="000000" w:sz="4" w:space="0"/>
            </w:tcBorders>
            <w:vAlign w:val="center"/>
          </w:tcPr>
          <w:p w14:paraId="01FE76F6">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77D54058">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vAlign w:val="center"/>
          </w:tcPr>
          <w:p w14:paraId="5E7F3F5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本地居民满意度</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35801E4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5139712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4912704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现场调查公众对生态修复的知晓率、参与度、满意度三维评估</w:t>
            </w:r>
          </w:p>
        </w:tc>
      </w:tr>
      <w:tr w14:paraId="18858470">
        <w:tblPrEx>
          <w:tblCellMar>
            <w:top w:w="0" w:type="dxa"/>
            <w:left w:w="108" w:type="dxa"/>
            <w:bottom w:w="0" w:type="dxa"/>
            <w:right w:w="108" w:type="dxa"/>
          </w:tblCellMar>
        </w:tblPrEx>
        <w:trPr>
          <w:trHeight w:val="282" w:hRule="atLeast"/>
          <w:tblHeader/>
        </w:trPr>
        <w:tc>
          <w:tcPr>
            <w:tcW w:w="685" w:type="dxa"/>
            <w:vMerge w:val="continue"/>
            <w:tcBorders>
              <w:top w:val="single" w:color="000000" w:sz="4" w:space="0"/>
              <w:left w:val="single" w:color="000000" w:sz="4" w:space="0"/>
              <w:bottom w:val="single" w:color="000000" w:sz="4" w:space="0"/>
              <w:right w:val="single" w:color="000000" w:sz="4" w:space="0"/>
            </w:tcBorders>
            <w:vAlign w:val="center"/>
          </w:tcPr>
          <w:p w14:paraId="3974DDBB">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36B66CF0">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vAlign w:val="center"/>
          </w:tcPr>
          <w:p w14:paraId="4F438C3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2FF8D6C3">
            <w:pPr>
              <w:spacing w:beforeLines="0"/>
              <w:ind w:firstLine="360"/>
              <w:rPr>
                <w:rFonts w:hint="eastAsia" w:cs="宋体"/>
                <w:color w:val="000000"/>
                <w:sz w:val="18"/>
                <w:szCs w:val="18"/>
              </w:rPr>
            </w:pP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39476B7E">
            <w:pPr>
              <w:spacing w:beforeLines="0"/>
              <w:ind w:firstLine="360"/>
              <w:rPr>
                <w:rFonts w:hint="eastAsia" w:cs="宋体"/>
                <w:color w:val="000000"/>
                <w:sz w:val="18"/>
                <w:szCs w:val="18"/>
              </w:rPr>
            </w:pPr>
          </w:p>
        </w:tc>
        <w:tc>
          <w:tcPr>
            <w:tcW w:w="2735" w:type="dxa"/>
            <w:tcBorders>
              <w:top w:val="single" w:color="000000" w:sz="4" w:space="0"/>
              <w:left w:val="single" w:color="000000" w:sz="4" w:space="0"/>
              <w:bottom w:val="single" w:color="000000" w:sz="4" w:space="0"/>
              <w:right w:val="single" w:color="000000" w:sz="4" w:space="0"/>
            </w:tcBorders>
            <w:noWrap/>
            <w:vAlign w:val="center"/>
          </w:tcPr>
          <w:p w14:paraId="7F556F4A">
            <w:pPr>
              <w:spacing w:beforeLines="0"/>
              <w:ind w:firstLine="360"/>
              <w:rPr>
                <w:rFonts w:hint="eastAsia" w:cs="宋体"/>
                <w:color w:val="000000"/>
                <w:sz w:val="18"/>
                <w:szCs w:val="18"/>
              </w:rPr>
            </w:pPr>
          </w:p>
        </w:tc>
      </w:tr>
      <w:tr w14:paraId="6C7A6EBA">
        <w:tblPrEx>
          <w:tblCellMar>
            <w:top w:w="0" w:type="dxa"/>
            <w:left w:w="108" w:type="dxa"/>
            <w:bottom w:w="0" w:type="dxa"/>
            <w:right w:w="108" w:type="dxa"/>
          </w:tblCellMar>
        </w:tblPrEx>
        <w:trPr>
          <w:trHeight w:val="282" w:hRule="atLeast"/>
          <w:tblHeader/>
        </w:trPr>
        <w:tc>
          <w:tcPr>
            <w:tcW w:w="685" w:type="dxa"/>
            <w:vMerge w:val="continue"/>
            <w:tcBorders>
              <w:top w:val="single" w:color="000000" w:sz="4" w:space="0"/>
              <w:left w:val="single" w:color="000000" w:sz="4" w:space="0"/>
              <w:bottom w:val="single" w:color="000000" w:sz="4" w:space="0"/>
              <w:right w:val="single" w:color="000000" w:sz="4" w:space="0"/>
            </w:tcBorders>
            <w:vAlign w:val="center"/>
          </w:tcPr>
          <w:p w14:paraId="714E1815">
            <w:pPr>
              <w:spacing w:beforeLines="0"/>
              <w:ind w:firstLine="360"/>
              <w:rPr>
                <w:rFonts w:hint="eastAsia" w:cs="宋体"/>
                <w:color w:val="000000"/>
                <w:sz w:val="18"/>
                <w:szCs w:val="18"/>
              </w:rPr>
            </w:pP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14:paraId="012CD1F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经济效果类</w:t>
            </w:r>
          </w:p>
        </w:tc>
        <w:tc>
          <w:tcPr>
            <w:tcW w:w="3393" w:type="dxa"/>
            <w:tcBorders>
              <w:top w:val="single" w:color="000000" w:sz="4" w:space="0"/>
              <w:left w:val="single" w:color="000000" w:sz="4" w:space="0"/>
              <w:bottom w:val="single" w:color="000000" w:sz="4" w:space="0"/>
              <w:right w:val="single" w:color="000000" w:sz="4" w:space="0"/>
            </w:tcBorders>
            <w:vAlign w:val="center"/>
          </w:tcPr>
          <w:p w14:paraId="300B58E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生态产业产值</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78FABA3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万元</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41793F2F">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1F21E0A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发改、生态环境、统计等主管部门</w:t>
            </w:r>
          </w:p>
        </w:tc>
      </w:tr>
      <w:tr w14:paraId="7122A924">
        <w:tblPrEx>
          <w:tblCellMar>
            <w:top w:w="0" w:type="dxa"/>
            <w:left w:w="108" w:type="dxa"/>
            <w:bottom w:w="0" w:type="dxa"/>
            <w:right w:w="108" w:type="dxa"/>
          </w:tblCellMar>
        </w:tblPrEx>
        <w:trPr>
          <w:trHeight w:val="282" w:hRule="atLeast"/>
          <w:tblHeader/>
        </w:trPr>
        <w:tc>
          <w:tcPr>
            <w:tcW w:w="685" w:type="dxa"/>
            <w:vMerge w:val="continue"/>
            <w:tcBorders>
              <w:top w:val="single" w:color="000000" w:sz="4" w:space="0"/>
              <w:left w:val="single" w:color="000000" w:sz="4" w:space="0"/>
              <w:bottom w:val="single" w:color="000000" w:sz="4" w:space="0"/>
              <w:right w:val="single" w:color="000000" w:sz="4" w:space="0"/>
            </w:tcBorders>
            <w:vAlign w:val="center"/>
          </w:tcPr>
          <w:p w14:paraId="46418F20">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1E0A14AD">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noWrap/>
            <w:vAlign w:val="center"/>
          </w:tcPr>
          <w:p w14:paraId="565D3A4F">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社会资本参与度</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085905C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万元</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4C52DA6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2E24CBD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发改、生态环境、统计等主管部门</w:t>
            </w:r>
          </w:p>
        </w:tc>
      </w:tr>
      <w:tr w14:paraId="1D576CC0">
        <w:tblPrEx>
          <w:tblCellMar>
            <w:top w:w="0" w:type="dxa"/>
            <w:left w:w="108" w:type="dxa"/>
            <w:bottom w:w="0" w:type="dxa"/>
            <w:right w:w="108" w:type="dxa"/>
          </w:tblCellMar>
        </w:tblPrEx>
        <w:trPr>
          <w:trHeight w:val="549" w:hRule="atLeast"/>
          <w:tblHeader/>
        </w:trPr>
        <w:tc>
          <w:tcPr>
            <w:tcW w:w="685" w:type="dxa"/>
            <w:vMerge w:val="continue"/>
            <w:tcBorders>
              <w:top w:val="single" w:color="000000" w:sz="4" w:space="0"/>
              <w:left w:val="single" w:color="000000" w:sz="4" w:space="0"/>
              <w:bottom w:val="single" w:color="000000" w:sz="4" w:space="0"/>
              <w:right w:val="single" w:color="000000" w:sz="4" w:space="0"/>
            </w:tcBorders>
            <w:vAlign w:val="center"/>
          </w:tcPr>
          <w:p w14:paraId="34F27855">
            <w:pPr>
              <w:spacing w:beforeLines="0"/>
              <w:ind w:firstLine="360"/>
              <w:rPr>
                <w:rFonts w:hint="eastAsia" w:cs="宋体"/>
                <w:color w:val="000000"/>
                <w:sz w:val="18"/>
                <w:szCs w:val="18"/>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14:paraId="7396647C">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vAlign w:val="center"/>
          </w:tcPr>
          <w:p w14:paraId="492C607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生态修复后自然资源价值转化</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01A8625D">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万元</w:t>
            </w: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6C49101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2735" w:type="dxa"/>
            <w:tcBorders>
              <w:top w:val="single" w:color="000000" w:sz="4" w:space="0"/>
              <w:left w:val="single" w:color="000000" w:sz="4" w:space="0"/>
              <w:bottom w:val="single" w:color="000000" w:sz="4" w:space="0"/>
              <w:right w:val="single" w:color="000000" w:sz="4" w:space="0"/>
            </w:tcBorders>
            <w:vAlign w:val="center"/>
          </w:tcPr>
          <w:p w14:paraId="759F6C6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参考TD/T1060和TD/T1061，海岸带的自然资源价值计算可参照GB/T 28058。</w:t>
            </w:r>
          </w:p>
        </w:tc>
      </w:tr>
      <w:tr w14:paraId="3EC6B0BA">
        <w:tblPrEx>
          <w:tblCellMar>
            <w:top w:w="0" w:type="dxa"/>
            <w:left w:w="108" w:type="dxa"/>
            <w:bottom w:w="0" w:type="dxa"/>
            <w:right w:w="108" w:type="dxa"/>
          </w:tblCellMar>
        </w:tblPrEx>
        <w:trPr>
          <w:trHeight w:val="292" w:hRule="atLeast"/>
          <w:tblHeader/>
        </w:trPr>
        <w:tc>
          <w:tcPr>
            <w:tcW w:w="685" w:type="dxa"/>
            <w:tcBorders>
              <w:top w:val="single" w:color="000000" w:sz="4" w:space="0"/>
              <w:left w:val="single" w:color="000000" w:sz="4" w:space="0"/>
              <w:bottom w:val="single" w:color="000000" w:sz="4" w:space="0"/>
              <w:right w:val="single" w:color="000000" w:sz="4" w:space="0"/>
            </w:tcBorders>
            <w:vAlign w:val="center"/>
          </w:tcPr>
          <w:p w14:paraId="5AC17569">
            <w:pPr>
              <w:spacing w:beforeLines="0"/>
              <w:ind w:firstLine="360"/>
              <w:rPr>
                <w:rFonts w:hint="eastAsia" w:cs="宋体"/>
                <w:color w:val="000000"/>
                <w:sz w:val="18"/>
                <w:szCs w:val="18"/>
              </w:rPr>
            </w:pPr>
          </w:p>
        </w:tc>
        <w:tc>
          <w:tcPr>
            <w:tcW w:w="700" w:type="dxa"/>
            <w:tcBorders>
              <w:top w:val="single" w:color="000000" w:sz="4" w:space="0"/>
              <w:left w:val="single" w:color="000000" w:sz="4" w:space="0"/>
              <w:bottom w:val="single" w:color="000000" w:sz="4" w:space="0"/>
              <w:right w:val="single" w:color="000000" w:sz="4" w:space="0"/>
            </w:tcBorders>
            <w:vAlign w:val="center"/>
          </w:tcPr>
          <w:p w14:paraId="0CE17582">
            <w:pPr>
              <w:spacing w:beforeLines="0"/>
              <w:ind w:firstLine="360"/>
              <w:rPr>
                <w:rFonts w:hint="eastAsia" w:cs="宋体"/>
                <w:color w:val="000000"/>
                <w:sz w:val="18"/>
                <w:szCs w:val="18"/>
              </w:rPr>
            </w:pPr>
          </w:p>
        </w:tc>
        <w:tc>
          <w:tcPr>
            <w:tcW w:w="3393" w:type="dxa"/>
            <w:tcBorders>
              <w:top w:val="single" w:color="000000" w:sz="4" w:space="0"/>
              <w:left w:val="single" w:color="000000" w:sz="4" w:space="0"/>
              <w:bottom w:val="single" w:color="000000" w:sz="4" w:space="0"/>
              <w:right w:val="single" w:color="000000" w:sz="4" w:space="0"/>
            </w:tcBorders>
            <w:vAlign w:val="center"/>
          </w:tcPr>
          <w:p w14:paraId="63392AD0">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3F7AC7AA">
            <w:pPr>
              <w:widowControl/>
              <w:spacing w:before="0" w:beforeLines="0"/>
              <w:ind w:firstLine="0" w:firstLineChars="0"/>
              <w:textAlignment w:val="center"/>
              <w:rPr>
                <w:rFonts w:hint="eastAsia" w:cs="宋体"/>
                <w:color w:val="000000"/>
                <w:kern w:val="0"/>
                <w:sz w:val="18"/>
                <w:szCs w:val="18"/>
                <w:lang w:bidi="ar"/>
              </w:rPr>
            </w:pPr>
          </w:p>
        </w:tc>
        <w:tc>
          <w:tcPr>
            <w:tcW w:w="1139" w:type="dxa"/>
            <w:tcBorders>
              <w:top w:val="single" w:color="000000" w:sz="4" w:space="0"/>
              <w:left w:val="single" w:color="000000" w:sz="4" w:space="0"/>
              <w:bottom w:val="single" w:color="000000" w:sz="4" w:space="0"/>
              <w:right w:val="single" w:color="000000" w:sz="4" w:space="0"/>
            </w:tcBorders>
            <w:noWrap/>
            <w:vAlign w:val="center"/>
          </w:tcPr>
          <w:p w14:paraId="79F9A8F2">
            <w:pPr>
              <w:widowControl/>
              <w:spacing w:before="0" w:beforeLines="0"/>
              <w:ind w:firstLine="0" w:firstLineChars="0"/>
              <w:textAlignment w:val="center"/>
              <w:rPr>
                <w:rFonts w:hint="eastAsia" w:cs="宋体"/>
                <w:color w:val="000000"/>
                <w:kern w:val="0"/>
                <w:sz w:val="18"/>
                <w:szCs w:val="18"/>
                <w:lang w:bidi="ar"/>
              </w:rPr>
            </w:pPr>
          </w:p>
        </w:tc>
        <w:tc>
          <w:tcPr>
            <w:tcW w:w="2735" w:type="dxa"/>
            <w:tcBorders>
              <w:top w:val="single" w:color="000000" w:sz="4" w:space="0"/>
              <w:left w:val="single" w:color="000000" w:sz="4" w:space="0"/>
              <w:bottom w:val="single" w:color="000000" w:sz="4" w:space="0"/>
              <w:right w:val="single" w:color="000000" w:sz="4" w:space="0"/>
            </w:tcBorders>
            <w:vAlign w:val="center"/>
          </w:tcPr>
          <w:p w14:paraId="526494A2">
            <w:pPr>
              <w:widowControl/>
              <w:spacing w:before="0" w:beforeLines="0"/>
              <w:ind w:firstLine="0" w:firstLineChars="0"/>
              <w:textAlignment w:val="center"/>
              <w:rPr>
                <w:rFonts w:hint="eastAsia" w:cs="宋体"/>
                <w:color w:val="000000"/>
                <w:kern w:val="0"/>
                <w:sz w:val="18"/>
                <w:szCs w:val="18"/>
                <w:lang w:bidi="ar"/>
              </w:rPr>
            </w:pPr>
          </w:p>
        </w:tc>
      </w:tr>
      <w:tr w14:paraId="7FB673A3">
        <w:tblPrEx>
          <w:tblCellMar>
            <w:top w:w="0" w:type="dxa"/>
            <w:left w:w="108" w:type="dxa"/>
            <w:bottom w:w="0" w:type="dxa"/>
            <w:right w:w="108" w:type="dxa"/>
          </w:tblCellMar>
        </w:tblPrEx>
        <w:trPr>
          <w:trHeight w:val="549" w:hRule="atLeast"/>
          <w:tblHeader/>
        </w:trPr>
        <w:tc>
          <w:tcPr>
            <w:tcW w:w="9731" w:type="dxa"/>
            <w:gridSpan w:val="6"/>
            <w:tcBorders>
              <w:top w:val="single" w:color="000000" w:sz="4" w:space="0"/>
              <w:left w:val="single" w:color="000000" w:sz="4" w:space="0"/>
              <w:bottom w:val="single" w:color="000000" w:sz="4" w:space="0"/>
              <w:right w:val="single" w:color="000000" w:sz="4" w:space="0"/>
            </w:tcBorders>
            <w:vAlign w:val="center"/>
          </w:tcPr>
          <w:p w14:paraId="449E4314">
            <w:pPr>
              <w:pStyle w:val="69"/>
              <w:spacing w:before="0" w:beforeLines="0"/>
              <w:rPr>
                <w:rFonts w:hint="eastAsia"/>
                <w:sz w:val="18"/>
                <w:szCs w:val="18"/>
              </w:rPr>
            </w:pPr>
            <w:r>
              <w:rPr>
                <w:rFonts w:hint="eastAsia"/>
                <w:sz w:val="18"/>
                <w:szCs w:val="18"/>
              </w:rPr>
              <w:t>指标确定根据实际情况和规划情况进行增减。</w:t>
            </w:r>
          </w:p>
          <w:p w14:paraId="3E3BEF23">
            <w:pPr>
              <w:pStyle w:val="69"/>
              <w:spacing w:before="0" w:beforeLines="0"/>
              <w:jc w:val="left"/>
              <w:rPr>
                <w:rFonts w:hint="eastAsia" w:cs="宋体"/>
                <w:color w:val="000000"/>
                <w:kern w:val="0"/>
                <w:sz w:val="18"/>
                <w:szCs w:val="18"/>
                <w:lang w:bidi="ar"/>
              </w:rPr>
            </w:pPr>
            <w:r>
              <w:rPr>
                <w:rFonts w:hint="eastAsia" w:cs="宋体"/>
                <w:sz w:val="18"/>
                <w:szCs w:val="18"/>
              </w:rPr>
              <w:t>计算所需数据优先选择自然资源、林业和草原、水利、生态环境、统计、气象等国家有关行政主管部门的公开数据，或第三方科研院所机构的科学数据。</w:t>
            </w:r>
          </w:p>
        </w:tc>
      </w:tr>
    </w:tbl>
    <w:p w14:paraId="67BB4D43">
      <w:pPr>
        <w:pStyle w:val="69"/>
        <w:spacing w:before="120"/>
        <w:rPr>
          <w:rFonts w:hint="eastAsia"/>
        </w:rPr>
        <w:sectPr>
          <w:pgSz w:w="11900" w:h="16840"/>
          <w:pgMar w:top="1406" w:right="1417" w:bottom="1312" w:left="1418" w:header="850" w:footer="680" w:gutter="0"/>
          <w:pgNumType w:start="1"/>
          <w:cols w:space="720" w:num="1"/>
        </w:sectPr>
      </w:pPr>
    </w:p>
    <w:p w14:paraId="38B48F90">
      <w:pPr>
        <w:pStyle w:val="51"/>
        <w:tabs>
          <w:tab w:val="left" w:pos="360"/>
          <w:tab w:val="left" w:pos="6405"/>
        </w:tabs>
        <w:adjustRightInd/>
        <w:snapToGrid/>
        <w:spacing w:beforeLines="0" w:after="0"/>
        <w:rPr>
          <w:rFonts w:hint="eastAsia"/>
        </w:rPr>
      </w:pPr>
      <w:bookmarkStart w:id="508" w:name="bookmark40"/>
      <w:bookmarkEnd w:id="508"/>
      <w:bookmarkStart w:id="509" w:name="bookmark39"/>
      <w:bookmarkEnd w:id="509"/>
      <w:bookmarkStart w:id="510" w:name="_Toc1874"/>
      <w:bookmarkStart w:id="511" w:name="_Toc20008"/>
      <w:bookmarkStart w:id="512" w:name="_Toc17507"/>
      <w:bookmarkStart w:id="513" w:name="_Toc20634"/>
      <w:bookmarkStart w:id="514" w:name="_Toc7110"/>
      <w:bookmarkStart w:id="515" w:name="_Toc14434"/>
      <w:bookmarkStart w:id="516" w:name="_Toc5039"/>
    </w:p>
    <w:p w14:paraId="64551430">
      <w:pPr>
        <w:pStyle w:val="51"/>
        <w:numPr>
          <w:ilvl w:val="255"/>
          <w:numId w:val="0"/>
        </w:numPr>
        <w:tabs>
          <w:tab w:val="left" w:pos="360"/>
          <w:tab w:val="left" w:pos="6405"/>
        </w:tabs>
        <w:snapToGrid/>
        <w:spacing w:before="156" w:after="0"/>
        <w:outlineLvl w:val="2"/>
        <w:rPr>
          <w:rFonts w:hAnsi="Times New Roman" w:cs="Times New Roman"/>
        </w:rPr>
      </w:pPr>
      <w:bookmarkStart w:id="517" w:name="_Toc31739"/>
      <w:bookmarkStart w:id="518" w:name="_Toc7166"/>
      <w:bookmarkStart w:id="519" w:name="_Toc20886"/>
      <w:bookmarkStart w:id="520" w:name="_Toc14605"/>
      <w:r>
        <w:rPr>
          <w:rFonts w:hAnsi="Times New Roman" w:cs="Times New Roman"/>
        </w:rPr>
        <w:t>（资料性）</w:t>
      </w:r>
      <w:bookmarkEnd w:id="517"/>
      <w:bookmarkEnd w:id="518"/>
      <w:bookmarkEnd w:id="519"/>
      <w:bookmarkEnd w:id="520"/>
    </w:p>
    <w:p w14:paraId="2134FCA2">
      <w:pPr>
        <w:pStyle w:val="51"/>
        <w:numPr>
          <w:ilvl w:val="255"/>
          <w:numId w:val="0"/>
        </w:numPr>
        <w:tabs>
          <w:tab w:val="left" w:pos="360"/>
          <w:tab w:val="left" w:pos="6405"/>
        </w:tabs>
        <w:snapToGrid/>
        <w:spacing w:before="156" w:after="0"/>
        <w:outlineLvl w:val="2"/>
        <w:rPr>
          <w:rFonts w:hAnsi="Times New Roman" w:cs="Times New Roman"/>
        </w:rPr>
      </w:pPr>
      <w:r>
        <w:rPr>
          <w:rFonts w:hint="eastAsia" w:hAnsi="Times New Roman" w:cs="Times New Roman"/>
          <w:lang w:val="en-US" w:eastAsia="zh-CN"/>
        </w:rPr>
        <w:t>评估方法</w:t>
      </w:r>
    </w:p>
    <w:bookmarkEnd w:id="510"/>
    <w:bookmarkEnd w:id="511"/>
    <w:bookmarkEnd w:id="512"/>
    <w:bookmarkEnd w:id="513"/>
    <w:p w14:paraId="7DFD2B20">
      <w:pPr>
        <w:pStyle w:val="63"/>
        <w:spacing w:before="312" w:beforeLines="100" w:after="312" w:afterLines="100"/>
        <w:outlineLvl w:val="1"/>
        <w:rPr>
          <w:rFonts w:hint="eastAsia" w:ascii="黑体" w:hAnsi="黑体" w:eastAsia="黑体" w:cs="黑体"/>
        </w:rPr>
      </w:pPr>
      <w:bookmarkStart w:id="521" w:name="_Toc20892"/>
      <w:bookmarkStart w:id="522" w:name="_Toc12940"/>
      <w:bookmarkStart w:id="523" w:name="_Toc11152"/>
      <w:bookmarkStart w:id="524" w:name="_Toc6827"/>
      <w:bookmarkStart w:id="525" w:name="_Toc25537"/>
      <w:bookmarkStart w:id="526" w:name="_Toc10544"/>
      <w:bookmarkStart w:id="527" w:name="_Toc2075"/>
      <w:bookmarkStart w:id="528" w:name="_Toc25815"/>
      <w:bookmarkStart w:id="529" w:name="_Toc4089"/>
      <w:r>
        <w:rPr>
          <w:rFonts w:hint="eastAsia" w:ascii="黑体" w:hAnsi="黑体" w:eastAsia="黑体" w:cs="黑体"/>
        </w:rPr>
        <w:t>规定了国土空间生态修复指标体系中各个指标计算方法</w:t>
      </w:r>
      <w:bookmarkEnd w:id="521"/>
      <w:bookmarkEnd w:id="522"/>
      <w:bookmarkEnd w:id="523"/>
      <w:bookmarkEnd w:id="524"/>
      <w:bookmarkEnd w:id="525"/>
      <w:bookmarkEnd w:id="526"/>
      <w:bookmarkEnd w:id="527"/>
      <w:bookmarkEnd w:id="528"/>
      <w:bookmarkEnd w:id="529"/>
    </w:p>
    <w:p w14:paraId="6C520AC9">
      <w:pPr>
        <w:pStyle w:val="64"/>
        <w:spacing w:before="312" w:beforeLines="100" w:after="156" w:afterLines="50"/>
        <w:outlineLvl w:val="2"/>
        <w:rPr>
          <w:rFonts w:hint="eastAsia" w:ascii="黑体" w:hAnsi="黑体" w:eastAsia="黑体" w:cs="黑体"/>
        </w:rPr>
      </w:pPr>
      <w:r>
        <w:rPr>
          <w:rFonts w:hint="eastAsia" w:ascii="黑体" w:hAnsi="黑体" w:eastAsia="黑体" w:cs="黑体"/>
        </w:rPr>
        <w:t>差值评估法</w:t>
      </w:r>
    </w:p>
    <w:p w14:paraId="5B7C5D9F">
      <w:pPr>
        <w:adjustRightInd/>
        <w:snapToGrid/>
        <w:spacing w:before="0" w:beforeLines="0"/>
        <w:ind w:firstLine="420"/>
        <w:rPr>
          <w:rFonts w:ascii="Times New Roman" w:hAnsi="Times New Roman" w:cs="Times New Roman"/>
          <w:szCs w:val="21"/>
        </w:rPr>
      </w:pPr>
      <w:r>
        <w:rPr>
          <w:rFonts w:ascii="Times New Roman" w:hAnsi="Times New Roman" w:cs="Times New Roman"/>
          <w:szCs w:val="21"/>
        </w:rPr>
        <w:t>对于评估变化量的指标利用差值评估法，即评估</w:t>
      </w:r>
      <w:r>
        <w:rPr>
          <w:rFonts w:hint="eastAsia" w:ascii="Times New Roman" w:hAnsi="Times New Roman" w:cs="Times New Roman"/>
          <w:szCs w:val="21"/>
        </w:rPr>
        <w:t>期</w:t>
      </w:r>
      <w:r>
        <w:rPr>
          <w:rFonts w:ascii="Times New Roman" w:hAnsi="Times New Roman" w:cs="Times New Roman"/>
          <w:szCs w:val="21"/>
        </w:rPr>
        <w:t>与</w:t>
      </w:r>
      <w:r>
        <w:rPr>
          <w:rFonts w:hint="eastAsia" w:ascii="Times New Roman" w:hAnsi="Times New Roman" w:cs="Times New Roman"/>
          <w:szCs w:val="21"/>
        </w:rPr>
        <w:t>评估基期</w:t>
      </w:r>
      <w:r>
        <w:rPr>
          <w:rFonts w:ascii="Times New Roman" w:hAnsi="Times New Roman" w:cs="Times New Roman"/>
          <w:szCs w:val="21"/>
        </w:rPr>
        <w:t>指标值之差，计算公式如下</w:t>
      </w:r>
      <w:r>
        <w:rPr>
          <w:rFonts w:hint="eastAsia" w:ascii="Times New Roman" w:hAnsi="Times New Roman" w:cs="Times New Roman"/>
          <w:szCs w:val="21"/>
        </w:rPr>
        <w:t>：</w:t>
      </w:r>
    </w:p>
    <w:p w14:paraId="6EAF3445">
      <w:pPr>
        <w:adjustRightInd/>
        <w:snapToGrid/>
        <w:spacing w:before="0" w:beforeLines="0"/>
        <w:ind w:firstLine="420"/>
        <w:rPr>
          <w:rFonts w:hint="eastAsia"/>
          <w:szCs w:val="21"/>
        </w:rPr>
      </w:pPr>
      <m:oMathPara>
        <m:oMath>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CI</m:t>
              </m:r>
              <m:ctrlPr>
                <w:rPr>
                  <w:rFonts w:ascii="Cambria Math" w:hAnsi="Cambria Math" w:cs="Times New Roman"/>
                  <w:i/>
                  <w:szCs w:val="21"/>
                </w:rPr>
              </m:ctrlPr>
            </m:sub>
          </m:sSub>
          <m:r>
            <m:rPr/>
            <w:rPr>
              <w:rFonts w:ascii="Cambria Math" w:hAnsi="Cambria Math" w:cs="Times New Roman"/>
              <w:szCs w:val="21"/>
            </w:rPr>
            <m:t>=</m:t>
          </m:r>
          <m:f>
            <m:fPr>
              <m:ctrlPr>
                <w:rPr>
                  <w:rFonts w:ascii="Cambria Math" w:hAnsi="Cambria Math" w:cs="Times New Roman"/>
                  <w:i/>
                  <w:szCs w:val="21"/>
                </w:rPr>
              </m:ctrlPr>
            </m:fPr>
            <m:num>
              <m:sSub>
                <m:sSubPr>
                  <m:ctrlPr>
                    <w:rPr>
                      <w:rFonts w:ascii="Cambria Math" w:hAnsi="Cambria Math" w:cs="Times New Roman"/>
                      <w:i/>
                      <w:szCs w:val="21"/>
                    </w:rPr>
                  </m:ctrlPr>
                </m:sSubPr>
                <m:e>
                  <m:r>
                    <m:rPr/>
                    <w:rPr>
                      <w:rFonts w:ascii="Cambria Math" w:hAnsi="Cambria Math" w:cs="Times New Roman"/>
                      <w:szCs w:val="21"/>
                    </w:rPr>
                    <m:t>C</m:t>
                  </m:r>
                  <m:ctrlPr>
                    <w:rPr>
                      <w:rFonts w:ascii="Cambria Math" w:hAnsi="Cambria Math" w:cs="Times New Roman"/>
                      <w:i/>
                      <w:szCs w:val="21"/>
                    </w:rPr>
                  </m:ctrlPr>
                </m:e>
                <m:sub>
                  <m:r>
                    <m:rPr/>
                    <w:rPr>
                      <w:rFonts w:ascii="Cambria Math" w:hAnsi="Cambria Math" w:cs="Times New Roman"/>
                      <w:szCs w:val="21"/>
                    </w:rPr>
                    <m:t>CI</m:t>
                  </m:r>
                  <m:ctrlPr>
                    <w:rPr>
                      <w:rFonts w:ascii="Cambria Math" w:hAnsi="Cambria Math" w:cs="Times New Roman"/>
                      <w:i/>
                      <w:szCs w:val="21"/>
                    </w:rPr>
                  </m:ctrlPr>
                </m:sub>
              </m:sSub>
              <m:r>
                <m:rPr/>
                <w:rPr>
                  <w:rFonts w:ascii="Cambria Math" w:hAnsi="Cambria Math" w:cs="Times New Roman"/>
                  <w:szCs w:val="21"/>
                </w:rPr>
                <m:t>−</m:t>
              </m:r>
              <m:sSub>
                <m:sSubPr>
                  <m:ctrlPr>
                    <w:rPr>
                      <w:rFonts w:ascii="Cambria Math" w:hAnsi="Cambria Math" w:cs="Times New Roman"/>
                      <w:i/>
                      <w:szCs w:val="21"/>
                    </w:rPr>
                  </m:ctrlPr>
                </m:sSubPr>
                <m:e>
                  <m:r>
                    <m:rPr/>
                    <w:rPr>
                      <w:rFonts w:ascii="Cambria Math" w:hAnsi="Cambria Math" w:cs="Times New Roman"/>
                      <w:szCs w:val="21"/>
                    </w:rPr>
                    <m:t>O</m:t>
                  </m:r>
                  <m:ctrlPr>
                    <w:rPr>
                      <w:rFonts w:ascii="Cambria Math" w:hAnsi="Cambria Math" w:cs="Times New Roman"/>
                      <w:i/>
                      <w:szCs w:val="21"/>
                    </w:rPr>
                  </m:ctrlPr>
                </m:e>
                <m:sub>
                  <m:r>
                    <m:rPr/>
                    <w:rPr>
                      <w:rFonts w:ascii="Cambria Math" w:hAnsi="Cambria Math" w:cs="Times New Roman"/>
                      <w:szCs w:val="21"/>
                    </w:rPr>
                    <m:t>CI</m:t>
                  </m:r>
                  <m:ctrlPr>
                    <w:rPr>
                      <w:rFonts w:ascii="Cambria Math" w:hAnsi="Cambria Math" w:cs="Times New Roman"/>
                      <w:i/>
                      <w:szCs w:val="21"/>
                    </w:rPr>
                  </m:ctrlPr>
                </m:sub>
              </m:sSub>
              <m:ctrlPr>
                <w:rPr>
                  <w:rFonts w:ascii="Cambria Math" w:hAnsi="Cambria Math" w:cs="Times New Roman"/>
                  <w:i/>
                  <w:szCs w:val="21"/>
                </w:rPr>
              </m:ctrlPr>
            </m:num>
            <m:den>
              <m:sSub>
                <m:sSubPr>
                  <m:ctrlPr>
                    <w:rPr>
                      <w:rFonts w:ascii="Cambria Math" w:hAnsi="Cambria Math" w:cs="Times New Roman"/>
                      <w:i/>
                      <w:szCs w:val="21"/>
                    </w:rPr>
                  </m:ctrlPr>
                </m:sSubPr>
                <m:e>
                  <m:r>
                    <m:rPr/>
                    <w:rPr>
                      <w:rFonts w:ascii="Cambria Math" w:hAnsi="Cambria Math" w:cs="Times New Roman"/>
                      <w:szCs w:val="21"/>
                    </w:rPr>
                    <m:t>O</m:t>
                  </m:r>
                  <m:ctrlPr>
                    <w:rPr>
                      <w:rFonts w:ascii="Cambria Math" w:hAnsi="Cambria Math" w:cs="Times New Roman"/>
                      <w:i/>
                      <w:szCs w:val="21"/>
                    </w:rPr>
                  </m:ctrlPr>
                </m:e>
                <m:sub>
                  <m:r>
                    <m:rPr/>
                    <w:rPr>
                      <w:rFonts w:ascii="Cambria Math" w:hAnsi="Cambria Math" w:cs="Times New Roman"/>
                      <w:szCs w:val="21"/>
                    </w:rPr>
                    <m:t>CI</m:t>
                  </m:r>
                  <m:ctrlPr>
                    <w:rPr>
                      <w:rFonts w:ascii="Cambria Math" w:hAnsi="Cambria Math" w:cs="Times New Roman"/>
                      <w:i/>
                      <w:szCs w:val="21"/>
                    </w:rPr>
                  </m:ctrlPr>
                </m:sub>
              </m:sSub>
              <m:ctrlPr>
                <w:rPr>
                  <w:rFonts w:ascii="Cambria Math" w:hAnsi="Cambria Math" w:cs="Times New Roman"/>
                  <w:i/>
                  <w:szCs w:val="21"/>
                </w:rPr>
              </m:ctrlPr>
            </m:den>
          </m:f>
          <m:r>
            <m:rPr/>
            <w:rPr>
              <w:rFonts w:ascii="Cambria Math" w:hAnsi="Cambria Math" w:cs="Times New Roman"/>
              <w:szCs w:val="21"/>
            </w:rPr>
            <m:t>×100%</m:t>
          </m:r>
        </m:oMath>
      </m:oMathPara>
    </w:p>
    <w:p w14:paraId="7535DD47">
      <w:pPr>
        <w:adjustRightInd/>
        <w:snapToGrid/>
        <w:spacing w:before="0" w:beforeLines="0"/>
        <w:ind w:firstLine="420"/>
        <w:rPr>
          <w:rFonts w:ascii="Times New Roman" w:hAnsi="Times New Roman" w:cs="Times New Roman"/>
          <w:szCs w:val="21"/>
        </w:rPr>
      </w:pPr>
      <w:r>
        <w:rPr>
          <w:rFonts w:ascii="Times New Roman" w:hAnsi="Times New Roman" w:cs="Times New Roman"/>
          <w:szCs w:val="21"/>
        </w:rPr>
        <w:t>式中</w:t>
      </w:r>
      <w:r>
        <w:rPr>
          <w:rFonts w:hint="eastAsia" w:ascii="Times New Roman" w:hAnsi="Times New Roman" w:cs="Times New Roman"/>
          <w:szCs w:val="21"/>
          <w:lang w:eastAsia="zh-CN"/>
        </w:rPr>
        <w:t>：</w:t>
      </w:r>
    </w:p>
    <w:p w14:paraId="5C32CD70">
      <w:pPr>
        <w:adjustRightInd/>
        <w:snapToGrid/>
        <w:spacing w:before="0" w:beforeLines="0"/>
        <w:ind w:firstLine="420"/>
        <w:rPr>
          <w:rFonts w:ascii="Times New Roman" w:hAnsi="Times New Roman" w:cs="Times New Roman"/>
          <w:szCs w:val="21"/>
        </w:rPr>
      </w:pPr>
      <m:oMath>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CI</m:t>
            </m:r>
            <m:ctrlPr>
              <w:rPr>
                <w:rFonts w:ascii="Cambria Math" w:hAnsi="Cambria Math" w:cs="Times New Roman"/>
                <w:i/>
                <w:szCs w:val="21"/>
              </w:rPr>
            </m:ctrlPr>
          </m:sub>
        </m:sSub>
      </m:oMath>
      <w:r>
        <w:rPr>
          <w:rFonts w:hint="eastAsia" w:hAnsi="Cambria Math" w:cs="Times New Roman"/>
          <w:i/>
          <w:szCs w:val="21"/>
          <w:lang w:eastAsia="zh-CN"/>
        </w:rPr>
        <w:t>－</w:t>
      </w:r>
      <w:r>
        <w:rPr>
          <w:rFonts w:ascii="Times New Roman" w:hAnsi="Times New Roman" w:cs="Times New Roman"/>
          <w:szCs w:val="21"/>
        </w:rPr>
        <w:t>指标值变化率</w:t>
      </w:r>
      <w:r>
        <w:rPr>
          <w:rFonts w:hint="eastAsia" w:ascii="Times New Roman" w:hAnsi="Times New Roman" w:cs="Times New Roman"/>
          <w:szCs w:val="21"/>
        </w:rPr>
        <w:t>；</w:t>
      </w:r>
    </w:p>
    <w:p w14:paraId="7FEB90C9">
      <w:pPr>
        <w:adjustRightInd/>
        <w:snapToGrid/>
        <w:spacing w:before="0" w:beforeLines="0"/>
        <w:ind w:firstLine="420"/>
        <w:rPr>
          <w:rFonts w:ascii="Times New Roman" w:hAnsi="Times New Roman" w:cs="Times New Roman"/>
          <w:szCs w:val="21"/>
        </w:rPr>
      </w:pPr>
      <m:oMath>
        <m:sSub>
          <m:sSubPr>
            <m:ctrlPr>
              <w:rPr>
                <w:rFonts w:ascii="Cambria Math" w:hAnsi="Cambria Math" w:cs="Times New Roman"/>
                <w:i/>
                <w:szCs w:val="21"/>
              </w:rPr>
            </m:ctrlPr>
          </m:sSubPr>
          <m:e>
            <m:r>
              <m:rPr/>
              <w:rPr>
                <w:rFonts w:ascii="Cambria Math" w:hAnsi="Cambria Math" w:cs="Times New Roman"/>
                <w:szCs w:val="21"/>
              </w:rPr>
              <m:t>C</m:t>
            </m:r>
            <m:ctrlPr>
              <w:rPr>
                <w:rFonts w:ascii="Cambria Math" w:hAnsi="Cambria Math" w:cs="Times New Roman"/>
                <w:i/>
                <w:szCs w:val="21"/>
              </w:rPr>
            </m:ctrlPr>
          </m:e>
          <m:sub>
            <m:r>
              <m:rPr/>
              <w:rPr>
                <w:rFonts w:ascii="Cambria Math" w:hAnsi="Cambria Math" w:cs="Times New Roman"/>
                <w:szCs w:val="21"/>
              </w:rPr>
              <m:t>CI</m:t>
            </m:r>
            <m:ctrlPr>
              <w:rPr>
                <w:rFonts w:ascii="Cambria Math" w:hAnsi="Cambria Math" w:cs="Times New Roman"/>
                <w:i/>
                <w:szCs w:val="21"/>
              </w:rPr>
            </m:ctrlPr>
          </m:sub>
        </m:sSub>
      </m:oMath>
      <w:r>
        <w:rPr>
          <w:rFonts w:hint="eastAsia" w:hAnsi="Cambria Math" w:cs="Times New Roman"/>
          <w:i/>
          <w:szCs w:val="21"/>
          <w:lang w:eastAsia="zh-CN"/>
        </w:rPr>
        <w:t>－</w:t>
      </w:r>
      <w:r>
        <w:rPr>
          <w:rFonts w:hint="eastAsia" w:ascii="Times New Roman" w:hAnsi="Times New Roman" w:cs="Times New Roman"/>
          <w:szCs w:val="21"/>
        </w:rPr>
        <w:t>评估期</w:t>
      </w:r>
      <w:r>
        <w:rPr>
          <w:rFonts w:ascii="Times New Roman" w:hAnsi="Times New Roman" w:cs="Times New Roman"/>
          <w:szCs w:val="21"/>
        </w:rPr>
        <w:t>指标值</w:t>
      </w:r>
      <w:r>
        <w:rPr>
          <w:rFonts w:hint="eastAsia" w:ascii="Times New Roman" w:hAnsi="Times New Roman" w:cs="Times New Roman"/>
          <w:szCs w:val="21"/>
        </w:rPr>
        <w:t>；</w:t>
      </w:r>
    </w:p>
    <w:p w14:paraId="12F33BAF">
      <w:pPr>
        <w:adjustRightInd/>
        <w:snapToGrid/>
        <w:spacing w:before="0" w:beforeLines="0"/>
        <w:ind w:firstLine="420"/>
        <w:rPr>
          <w:rFonts w:ascii="Times New Roman" w:hAnsi="Times New Roman" w:cs="Times New Roman"/>
          <w:szCs w:val="21"/>
        </w:rPr>
      </w:pPr>
      <m:oMath>
        <m:sSub>
          <m:sSubPr>
            <m:ctrlPr>
              <w:rPr>
                <w:rFonts w:ascii="Cambria Math" w:hAnsi="Cambria Math" w:cs="Times New Roman"/>
                <w:i/>
                <w:szCs w:val="21"/>
              </w:rPr>
            </m:ctrlPr>
          </m:sSubPr>
          <m:e>
            <m:r>
              <m:rPr/>
              <w:rPr>
                <w:rFonts w:ascii="Cambria Math" w:hAnsi="Cambria Math" w:cs="Times New Roman"/>
                <w:szCs w:val="21"/>
              </w:rPr>
              <m:t>O</m:t>
            </m:r>
            <m:ctrlPr>
              <w:rPr>
                <w:rFonts w:ascii="Cambria Math" w:hAnsi="Cambria Math" w:cs="Times New Roman"/>
                <w:i/>
                <w:szCs w:val="21"/>
              </w:rPr>
            </m:ctrlPr>
          </m:e>
          <m:sub>
            <m:r>
              <m:rPr/>
              <w:rPr>
                <w:rFonts w:ascii="Cambria Math" w:hAnsi="Cambria Math" w:cs="Times New Roman"/>
                <w:szCs w:val="21"/>
              </w:rPr>
              <m:t>CI</m:t>
            </m:r>
            <m:ctrlPr>
              <w:rPr>
                <w:rFonts w:ascii="Cambria Math" w:hAnsi="Cambria Math" w:cs="Times New Roman"/>
                <w:i/>
                <w:szCs w:val="21"/>
              </w:rPr>
            </m:ctrlPr>
          </m:sub>
        </m:sSub>
      </m:oMath>
      <w:r>
        <w:rPr>
          <w:rFonts w:hint="eastAsia" w:hAnsi="Cambria Math" w:cs="Times New Roman"/>
          <w:i/>
          <w:szCs w:val="21"/>
          <w:lang w:eastAsia="zh-CN"/>
        </w:rPr>
        <w:t>－</w:t>
      </w:r>
      <w:r>
        <w:rPr>
          <w:rFonts w:hint="eastAsia" w:ascii="Times New Roman" w:hAnsi="Times New Roman" w:cs="Times New Roman"/>
          <w:szCs w:val="21"/>
        </w:rPr>
        <w:t>评估基期</w:t>
      </w:r>
      <w:r>
        <w:rPr>
          <w:rFonts w:ascii="Times New Roman" w:hAnsi="Times New Roman" w:cs="Times New Roman"/>
          <w:szCs w:val="21"/>
        </w:rPr>
        <w:t>指标值。</w:t>
      </w:r>
    </w:p>
    <w:p w14:paraId="032B90D5">
      <w:pPr>
        <w:pStyle w:val="64"/>
        <w:spacing w:before="312" w:beforeLines="100" w:after="156" w:afterLines="50"/>
        <w:outlineLvl w:val="2"/>
        <w:rPr>
          <w:rFonts w:hint="eastAsia" w:ascii="黑体" w:hAnsi="黑体" w:eastAsia="黑体" w:cs="黑体"/>
        </w:rPr>
      </w:pPr>
      <w:r>
        <w:rPr>
          <w:rFonts w:hint="eastAsia" w:ascii="黑体" w:hAnsi="黑体" w:eastAsia="黑体" w:cs="黑体"/>
        </w:rPr>
        <w:t>比值评估法</w:t>
      </w:r>
    </w:p>
    <w:p w14:paraId="23BCCF16">
      <w:pPr>
        <w:adjustRightInd/>
        <w:snapToGrid/>
        <w:spacing w:before="0" w:beforeLines="0"/>
        <w:ind w:firstLine="420"/>
        <w:rPr>
          <w:rFonts w:ascii="Times New Roman" w:hAnsi="Times New Roman" w:cs="Times New Roman"/>
          <w:szCs w:val="21"/>
        </w:rPr>
      </w:pPr>
      <w:r>
        <w:rPr>
          <w:rFonts w:ascii="Times New Roman" w:hAnsi="Times New Roman" w:cs="Times New Roman"/>
          <w:szCs w:val="21"/>
        </w:rPr>
        <w:t>对于评估完成度的指标利用比值评估法，即指标完成量与规划目标量的比率，计算公式如下</w:t>
      </w:r>
      <w:r>
        <w:rPr>
          <w:rFonts w:hint="eastAsia" w:ascii="Times New Roman" w:hAnsi="Times New Roman" w:cs="Times New Roman"/>
          <w:szCs w:val="21"/>
        </w:rPr>
        <w:t>：</w:t>
      </w:r>
    </w:p>
    <w:p w14:paraId="3CB7EC23">
      <w:pPr>
        <w:adjustRightInd/>
        <w:snapToGrid/>
        <w:spacing w:before="0" w:beforeLines="0"/>
        <w:ind w:firstLine="420"/>
        <w:rPr>
          <w:rFonts w:ascii="Times New Roman" w:hAnsi="Times New Roman" w:cs="Times New Roman"/>
          <w:szCs w:val="21"/>
        </w:rPr>
      </w:pPr>
      <m:oMathPara>
        <m:oMath>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CR</m:t>
              </m:r>
              <m:ctrlPr>
                <w:rPr>
                  <w:rFonts w:ascii="Cambria Math" w:hAnsi="Cambria Math" w:cs="Times New Roman"/>
                  <w:i/>
                  <w:szCs w:val="21"/>
                </w:rPr>
              </m:ctrlPr>
            </m:sub>
          </m:sSub>
          <m:r>
            <m:rPr/>
            <w:rPr>
              <w:rFonts w:ascii="Cambria Math" w:hAnsi="Cambria Math" w:cs="Times New Roman"/>
              <w:szCs w:val="21"/>
            </w:rPr>
            <m:t>=</m:t>
          </m:r>
          <m:f>
            <m:fPr>
              <m:ctrlPr>
                <w:rPr>
                  <w:rFonts w:ascii="Cambria Math" w:hAnsi="Cambria Math" w:cs="Times New Roman"/>
                  <w:i/>
                  <w:szCs w:val="21"/>
                </w:rPr>
              </m:ctrlPr>
            </m:fPr>
            <m:num>
              <m:sSub>
                <m:sSubPr>
                  <m:ctrlPr>
                    <w:rPr>
                      <w:rFonts w:ascii="Cambria Math" w:hAnsi="Cambria Math" w:cs="Times New Roman"/>
                      <w:i/>
                      <w:szCs w:val="21"/>
                    </w:rPr>
                  </m:ctrlPr>
                </m:sSubPr>
                <m:e>
                  <m:r>
                    <m:rPr/>
                    <w:rPr>
                      <w:rFonts w:ascii="Cambria Math" w:hAnsi="Cambria Math" w:cs="Times New Roman"/>
                      <w:szCs w:val="21"/>
                    </w:rPr>
                    <m:t>C</m:t>
                  </m:r>
                  <m:ctrlPr>
                    <w:rPr>
                      <w:rFonts w:ascii="Cambria Math" w:hAnsi="Cambria Math" w:cs="Times New Roman"/>
                      <w:i/>
                      <w:szCs w:val="21"/>
                    </w:rPr>
                  </m:ctrlPr>
                </m:e>
                <m:sub>
                  <m:r>
                    <m:rPr/>
                    <w:rPr>
                      <w:rFonts w:ascii="Cambria Math" w:hAnsi="Cambria Math" w:cs="Times New Roman"/>
                      <w:szCs w:val="21"/>
                    </w:rPr>
                    <m:t>CR</m:t>
                  </m:r>
                  <m:ctrlPr>
                    <w:rPr>
                      <w:rFonts w:ascii="Cambria Math" w:hAnsi="Cambria Math" w:cs="Times New Roman"/>
                      <w:i/>
                      <w:szCs w:val="21"/>
                    </w:rPr>
                  </m:ctrlPr>
                </m:sub>
              </m:sSub>
              <m:ctrlPr>
                <w:rPr>
                  <w:rFonts w:ascii="Cambria Math" w:hAnsi="Cambria Math" w:cs="Times New Roman"/>
                  <w:i/>
                  <w:szCs w:val="21"/>
                </w:rPr>
              </m:ctrlPr>
            </m:num>
            <m:den>
              <m:sSub>
                <m:sSubPr>
                  <m:ctrlPr>
                    <w:rPr>
                      <w:rFonts w:ascii="Cambria Math" w:hAnsi="Cambria Math" w:cs="Times New Roman"/>
                      <w:i/>
                      <w:szCs w:val="21"/>
                    </w:rPr>
                  </m:ctrlPr>
                </m:sSubPr>
                <m:e>
                  <m:r>
                    <m:rPr/>
                    <w:rPr>
                      <w:rFonts w:ascii="Cambria Math" w:hAnsi="Cambria Math" w:cs="Times New Roman"/>
                      <w:szCs w:val="21"/>
                    </w:rPr>
                    <m:t>O</m:t>
                  </m:r>
                  <m:ctrlPr>
                    <w:rPr>
                      <w:rFonts w:ascii="Cambria Math" w:hAnsi="Cambria Math" w:cs="Times New Roman"/>
                      <w:i/>
                      <w:szCs w:val="21"/>
                    </w:rPr>
                  </m:ctrlPr>
                </m:e>
                <m:sub>
                  <m:r>
                    <m:rPr/>
                    <w:rPr>
                      <w:rFonts w:ascii="Cambria Math" w:hAnsi="Cambria Math" w:cs="Times New Roman"/>
                      <w:szCs w:val="21"/>
                    </w:rPr>
                    <m:t>CR</m:t>
                  </m:r>
                  <m:ctrlPr>
                    <w:rPr>
                      <w:rFonts w:ascii="Cambria Math" w:hAnsi="Cambria Math" w:cs="Times New Roman"/>
                      <w:i/>
                      <w:szCs w:val="21"/>
                    </w:rPr>
                  </m:ctrlPr>
                </m:sub>
              </m:sSub>
              <m:ctrlPr>
                <w:rPr>
                  <w:rFonts w:ascii="Cambria Math" w:hAnsi="Cambria Math" w:cs="Times New Roman"/>
                  <w:i/>
                  <w:szCs w:val="21"/>
                </w:rPr>
              </m:ctrlPr>
            </m:den>
          </m:f>
          <m:r>
            <m:rPr/>
            <w:rPr>
              <w:rFonts w:ascii="Cambria Math" w:hAnsi="Cambria Math" w:cs="Cambria Math"/>
              <w:szCs w:val="21"/>
            </w:rPr>
            <m:t>×</m:t>
          </m:r>
          <m:r>
            <m:rPr/>
            <w:rPr>
              <w:rFonts w:ascii="Cambria Math" w:hAnsi="Cambria Math" w:cs="Times New Roman"/>
              <w:szCs w:val="21"/>
            </w:rPr>
            <m:t>100%</m:t>
          </m:r>
        </m:oMath>
      </m:oMathPara>
    </w:p>
    <w:p w14:paraId="7205E39B">
      <w:pPr>
        <w:adjustRightInd/>
        <w:snapToGrid/>
        <w:spacing w:before="0" w:beforeLines="0"/>
        <w:ind w:firstLine="420"/>
        <w:rPr>
          <w:rFonts w:ascii="Times New Roman" w:hAnsi="Times New Roman" w:cs="Times New Roman"/>
          <w:szCs w:val="21"/>
        </w:rPr>
      </w:pPr>
      <w:r>
        <w:rPr>
          <w:rFonts w:ascii="Times New Roman" w:hAnsi="Times New Roman" w:cs="Times New Roman"/>
          <w:szCs w:val="21"/>
        </w:rPr>
        <w:t>式中</w:t>
      </w:r>
      <w:r>
        <w:rPr>
          <w:rFonts w:hint="eastAsia" w:ascii="Times New Roman" w:hAnsi="Times New Roman" w:cs="Times New Roman"/>
          <w:szCs w:val="21"/>
          <w:lang w:eastAsia="zh-CN"/>
        </w:rPr>
        <w:t>：</w:t>
      </w:r>
    </w:p>
    <w:p w14:paraId="27BA2D31">
      <w:pPr>
        <w:adjustRightInd/>
        <w:snapToGrid/>
        <w:spacing w:before="0" w:beforeLines="0"/>
        <w:ind w:firstLine="420"/>
        <w:rPr>
          <w:rFonts w:ascii="Times New Roman" w:hAnsi="Times New Roman" w:cs="Times New Roman"/>
          <w:szCs w:val="21"/>
        </w:rPr>
      </w:pPr>
      <m:oMath>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CR</m:t>
            </m:r>
            <m:ctrlPr>
              <w:rPr>
                <w:rFonts w:ascii="Cambria Math" w:hAnsi="Cambria Math" w:cs="Times New Roman"/>
                <w:i/>
                <w:szCs w:val="21"/>
              </w:rPr>
            </m:ctrlPr>
          </m:sub>
        </m:sSub>
      </m:oMath>
      <w:r>
        <w:rPr>
          <w:rFonts w:hint="eastAsia" w:hAnsi="Cambria Math" w:cs="Times New Roman"/>
          <w:i w:val="0"/>
          <w:szCs w:val="21"/>
          <w:lang w:eastAsia="zh-CN"/>
        </w:rPr>
        <w:t>－</w:t>
      </w:r>
      <w:r>
        <w:rPr>
          <w:rFonts w:ascii="Times New Roman" w:hAnsi="Times New Roman" w:cs="Times New Roman"/>
          <w:szCs w:val="21"/>
        </w:rPr>
        <w:t>指标完成</w:t>
      </w:r>
      <w:r>
        <w:rPr>
          <w:rFonts w:hint="eastAsia" w:ascii="Times New Roman" w:hAnsi="Times New Roman" w:cs="Times New Roman"/>
          <w:szCs w:val="21"/>
          <w:lang w:val="en-US" w:eastAsia="zh-CN"/>
        </w:rPr>
        <w:t>度</w:t>
      </w:r>
      <w:r>
        <w:rPr>
          <w:rFonts w:hint="eastAsia" w:ascii="Times New Roman" w:hAnsi="Times New Roman" w:cs="Times New Roman"/>
          <w:szCs w:val="21"/>
        </w:rPr>
        <w:t>；</w:t>
      </w:r>
    </w:p>
    <w:p w14:paraId="3984EB86">
      <w:pPr>
        <w:adjustRightInd/>
        <w:snapToGrid/>
        <w:spacing w:before="0" w:beforeLines="0"/>
        <w:ind w:firstLine="420"/>
        <w:rPr>
          <w:rFonts w:ascii="Times New Roman" w:hAnsi="Times New Roman" w:cs="Times New Roman"/>
          <w:szCs w:val="21"/>
        </w:rPr>
      </w:pPr>
      <m:oMath>
        <m:sSub>
          <m:sSubPr>
            <m:ctrlPr>
              <w:rPr>
                <w:rFonts w:ascii="Cambria Math" w:hAnsi="Cambria Math" w:cs="Times New Roman"/>
                <w:i/>
                <w:szCs w:val="21"/>
              </w:rPr>
            </m:ctrlPr>
          </m:sSubPr>
          <m:e>
            <m:r>
              <m:rPr/>
              <w:rPr>
                <w:rFonts w:ascii="Cambria Math" w:hAnsi="Cambria Math" w:cs="Times New Roman"/>
                <w:szCs w:val="21"/>
              </w:rPr>
              <m:t>C</m:t>
            </m:r>
            <m:ctrlPr>
              <w:rPr>
                <w:rFonts w:ascii="Cambria Math" w:hAnsi="Cambria Math" w:cs="Times New Roman"/>
                <w:i/>
                <w:szCs w:val="21"/>
              </w:rPr>
            </m:ctrlPr>
          </m:e>
          <m:sub>
            <m:r>
              <m:rPr/>
              <w:rPr>
                <w:rFonts w:ascii="Cambria Math" w:hAnsi="Cambria Math" w:cs="Times New Roman"/>
                <w:szCs w:val="21"/>
              </w:rPr>
              <m:t>CR</m:t>
            </m:r>
            <m:ctrlPr>
              <w:rPr>
                <w:rFonts w:ascii="Cambria Math" w:hAnsi="Cambria Math" w:cs="Times New Roman"/>
                <w:i/>
                <w:szCs w:val="21"/>
              </w:rPr>
            </m:ctrlPr>
          </m:sub>
        </m:sSub>
      </m:oMath>
      <w:r>
        <w:rPr>
          <w:rFonts w:hint="eastAsia" w:hAnsi="Cambria Math" w:cs="Times New Roman"/>
          <w:i/>
          <w:szCs w:val="21"/>
          <w:lang w:eastAsia="zh-CN"/>
        </w:rPr>
        <w:t>－</w:t>
      </w:r>
      <w:r>
        <w:rPr>
          <w:rFonts w:ascii="Times New Roman" w:hAnsi="Times New Roman" w:cs="Times New Roman"/>
          <w:szCs w:val="21"/>
        </w:rPr>
        <w:t>指标完成量</w:t>
      </w:r>
      <w:r>
        <w:rPr>
          <w:rFonts w:hint="eastAsia" w:ascii="Times New Roman" w:hAnsi="Times New Roman" w:cs="Times New Roman"/>
          <w:szCs w:val="21"/>
        </w:rPr>
        <w:t>；</w:t>
      </w:r>
    </w:p>
    <w:p w14:paraId="0254FC8D">
      <w:pPr>
        <w:adjustRightInd/>
        <w:snapToGrid/>
        <w:spacing w:before="0" w:beforeLines="0"/>
        <w:ind w:firstLine="420"/>
        <w:rPr>
          <w:rFonts w:ascii="Times New Roman" w:hAnsi="Times New Roman" w:cs="Times New Roman"/>
          <w:szCs w:val="21"/>
        </w:rPr>
      </w:pPr>
      <m:oMath>
        <m:sSub>
          <m:sSubPr>
            <m:ctrlPr>
              <w:rPr>
                <w:rFonts w:ascii="Cambria Math" w:hAnsi="Cambria Math" w:cs="Times New Roman"/>
                <w:i/>
                <w:szCs w:val="21"/>
              </w:rPr>
            </m:ctrlPr>
          </m:sSubPr>
          <m:e>
            <m:r>
              <m:rPr/>
              <w:rPr>
                <w:rFonts w:ascii="Cambria Math" w:hAnsi="Cambria Math" w:cs="Times New Roman"/>
                <w:szCs w:val="21"/>
              </w:rPr>
              <m:t>O</m:t>
            </m:r>
            <m:ctrlPr>
              <w:rPr>
                <w:rFonts w:ascii="Cambria Math" w:hAnsi="Cambria Math" w:cs="Times New Roman"/>
                <w:i/>
                <w:szCs w:val="21"/>
              </w:rPr>
            </m:ctrlPr>
          </m:e>
          <m:sub>
            <m:r>
              <m:rPr/>
              <w:rPr>
                <w:rFonts w:ascii="Cambria Math" w:hAnsi="Cambria Math" w:cs="Times New Roman"/>
                <w:szCs w:val="21"/>
              </w:rPr>
              <m:t>CR</m:t>
            </m:r>
            <m:ctrlPr>
              <w:rPr>
                <w:rFonts w:ascii="Cambria Math" w:hAnsi="Cambria Math" w:cs="Times New Roman"/>
                <w:i/>
                <w:szCs w:val="21"/>
              </w:rPr>
            </m:ctrlPr>
          </m:sub>
        </m:sSub>
      </m:oMath>
      <w:r>
        <w:rPr>
          <w:rFonts w:hint="eastAsia" w:hAnsi="Cambria Math" w:cs="Times New Roman"/>
          <w:i/>
          <w:szCs w:val="21"/>
          <w:lang w:eastAsia="zh-CN"/>
        </w:rPr>
        <w:t>－</w:t>
      </w:r>
      <w:r>
        <w:rPr>
          <w:rFonts w:ascii="Times New Roman" w:hAnsi="Times New Roman" w:cs="Times New Roman"/>
          <w:szCs w:val="21"/>
        </w:rPr>
        <w:t>规划目标量。</w:t>
      </w:r>
    </w:p>
    <w:p w14:paraId="6377C99F">
      <w:pPr>
        <w:pStyle w:val="63"/>
        <w:spacing w:before="312" w:beforeLines="100" w:after="312" w:afterLines="100"/>
        <w:outlineLvl w:val="1"/>
        <w:rPr>
          <w:rFonts w:hint="eastAsia" w:ascii="黑体" w:hAnsi="黑体" w:eastAsia="黑体" w:cs="黑体"/>
        </w:rPr>
      </w:pPr>
      <w:bookmarkStart w:id="530" w:name="_Toc13576"/>
      <w:bookmarkStart w:id="531" w:name="_Toc14120"/>
      <w:bookmarkStart w:id="532" w:name="_Toc25835"/>
      <w:bookmarkStart w:id="533" w:name="_Toc8079"/>
      <w:bookmarkStart w:id="534" w:name="_Toc14226"/>
      <w:bookmarkStart w:id="535" w:name="_Toc10812"/>
      <w:bookmarkStart w:id="536" w:name="_Toc7559"/>
      <w:bookmarkStart w:id="537" w:name="_Toc32731"/>
      <w:bookmarkStart w:id="538" w:name="_Toc15147"/>
      <w:r>
        <w:rPr>
          <w:rFonts w:hint="eastAsia" w:ascii="黑体" w:hAnsi="黑体" w:eastAsia="黑体" w:cs="黑体"/>
        </w:rPr>
        <w:t>规定了国土空间生态修复后期效果评估方法</w:t>
      </w:r>
      <w:bookmarkEnd w:id="530"/>
      <w:bookmarkEnd w:id="531"/>
      <w:bookmarkEnd w:id="532"/>
      <w:bookmarkEnd w:id="533"/>
      <w:bookmarkEnd w:id="534"/>
      <w:bookmarkEnd w:id="535"/>
      <w:bookmarkEnd w:id="536"/>
      <w:bookmarkEnd w:id="537"/>
      <w:bookmarkEnd w:id="538"/>
    </w:p>
    <w:p w14:paraId="0C76FD2C">
      <w:pPr>
        <w:pStyle w:val="64"/>
        <w:spacing w:before="312" w:beforeLines="100" w:after="156" w:afterLines="50"/>
        <w:outlineLvl w:val="2"/>
        <w:rPr>
          <w:rFonts w:hint="eastAsia" w:ascii="黑体" w:hAnsi="黑体" w:eastAsia="黑体" w:cs="黑体"/>
        </w:rPr>
      </w:pPr>
      <w:r>
        <w:rPr>
          <w:rFonts w:hint="eastAsia" w:ascii="黑体" w:hAnsi="黑体" w:eastAsia="黑体" w:cs="黑体"/>
        </w:rPr>
        <w:t>规划目标完成度</w:t>
      </w:r>
    </w:p>
    <w:p w14:paraId="69B3B2D3">
      <w:pPr>
        <w:adjustRightInd/>
        <w:snapToGrid/>
        <w:spacing w:before="0" w:beforeLines="0"/>
        <w:ind w:firstLine="420"/>
        <w:rPr>
          <w:rFonts w:ascii="Times New Roman" w:hAnsi="Times New Roman" w:cs="Times New Roman" w:eastAsiaTheme="minorEastAsia"/>
          <w:szCs w:val="21"/>
        </w:rPr>
      </w:pPr>
      <m:oMathPara>
        <m:oMath>
          <m:r>
            <m:rPr/>
            <w:rPr>
              <w:rFonts w:ascii="Cambria Math" w:hAnsi="Cambria Math" w:cs="Times New Roman" w:eastAsiaTheme="minorEastAsia"/>
              <w:szCs w:val="21"/>
            </w:rPr>
            <m:t>∆OQI=</m:t>
          </m:r>
          <m:nary>
            <m:naryPr>
              <m:chr m:val="∑"/>
              <m:limLoc m:val="undOvr"/>
              <m:ctrlPr>
                <w:rPr>
                  <w:rFonts w:ascii="Cambria Math" w:hAnsi="Cambria Math" w:cs="Cambria Math" w:eastAsiaTheme="minorEastAsia"/>
                  <w:i/>
                  <w:iCs/>
                  <w:szCs w:val="21"/>
                </w:rPr>
              </m:ctrlPr>
            </m:naryPr>
            <m:sub>
              <m:r>
                <m:rPr/>
                <w:rPr>
                  <w:rFonts w:ascii="Cambria Math" w:hAnsi="Cambria Math" w:cs="Cambria Math" w:eastAsiaTheme="minorEastAsia"/>
                  <w:szCs w:val="21"/>
                </w:rPr>
                <m:t>1</m:t>
              </m:r>
              <m:ctrlPr>
                <w:rPr>
                  <w:rFonts w:ascii="Cambria Math" w:hAnsi="Cambria Math" w:cs="Cambria Math" w:eastAsiaTheme="minorEastAsia"/>
                  <w:i/>
                  <w:iCs/>
                  <w:szCs w:val="21"/>
                </w:rPr>
              </m:ctrlPr>
            </m:sub>
            <m:sup>
              <m:r>
                <m:rPr/>
                <w:rPr>
                  <w:rFonts w:ascii="Cambria Math" w:hAnsi="Cambria Math" w:cs="Cambria Math" w:eastAsiaTheme="minorEastAsia"/>
                  <w:szCs w:val="21"/>
                </w:rPr>
                <m:t>n</m:t>
              </m:r>
              <m:ctrlPr>
                <w:rPr>
                  <w:rFonts w:ascii="Cambria Math" w:hAnsi="Cambria Math" w:cs="Cambria Math" w:eastAsiaTheme="minorEastAsia"/>
                  <w:i/>
                  <w:iCs/>
                  <w:szCs w:val="21"/>
                </w:rPr>
              </m:ctrlPr>
            </m:sup>
            <m:e>
              <m:sSub>
                <m:sSubPr>
                  <m:ctrlPr>
                    <w:rPr>
                      <w:rFonts w:ascii="Cambria Math" w:hAnsi="Cambria Math" w:cs="Cambria Math" w:eastAsiaTheme="minorEastAsia"/>
                      <w:i/>
                      <w:iCs/>
                      <w:szCs w:val="21"/>
                    </w:rPr>
                  </m:ctrlPr>
                </m:sSubPr>
                <m:e>
                  <m:sSub>
                    <m:sSubPr>
                      <m:ctrlPr>
                        <w:rPr>
                          <w:rFonts w:ascii="Cambria Math" w:hAnsi="Cambria Math" w:cs="Cambria Math" w:eastAsiaTheme="minorEastAsia"/>
                          <w:i/>
                          <w:iCs/>
                          <w:szCs w:val="21"/>
                        </w:rPr>
                      </m:ctrlPr>
                    </m:sSubPr>
                    <m:e>
                      <m:r>
                        <m:rPr/>
                        <w:rPr>
                          <w:rFonts w:ascii="Cambria Math" w:hAnsi="Cambria Math" w:cs="Cambria Math" w:eastAsiaTheme="minorEastAsia"/>
                          <w:szCs w:val="21"/>
                        </w:rPr>
                        <m:t>α</m:t>
                      </m:r>
                      <m:ctrlPr>
                        <w:rPr>
                          <w:rFonts w:ascii="Cambria Math" w:hAnsi="Cambria Math" w:cs="Cambria Math" w:eastAsiaTheme="minorEastAsia"/>
                          <w:i/>
                          <w:iCs/>
                          <w:szCs w:val="21"/>
                        </w:rPr>
                      </m:ctrlPr>
                    </m:e>
                    <m:sub>
                      <m:r>
                        <m:rPr/>
                        <w:rPr>
                          <w:rFonts w:ascii="Cambria Math" w:hAnsi="Cambria Math" w:cs="Cambria Math" w:eastAsiaTheme="minorEastAsia"/>
                          <w:szCs w:val="21"/>
                        </w:rPr>
                        <m:t>i</m:t>
                      </m:r>
                      <m:ctrlPr>
                        <w:rPr>
                          <w:rFonts w:ascii="Cambria Math" w:hAnsi="Cambria Math" w:cs="Cambria Math" w:eastAsiaTheme="minorEastAsia"/>
                          <w:i/>
                          <w:iCs/>
                          <w:szCs w:val="21"/>
                        </w:rPr>
                      </m:ctrlPr>
                    </m:sub>
                  </m:sSub>
                  <m:r>
                    <m:rPr/>
                    <w:rPr>
                      <w:rFonts w:ascii="Cambria Math" w:hAnsi="Cambria Math" w:cs="Cambria Math" w:eastAsiaTheme="minorEastAsia"/>
                      <w:szCs w:val="21"/>
                    </w:rPr>
                    <m:t>∗</m:t>
                  </m:r>
                  <m:r>
                    <m:rPr/>
                    <w:rPr>
                      <w:rFonts w:hint="default" w:ascii="Cambria Math" w:hAnsi="Cambria Math" w:cs="Cambria Math" w:eastAsiaTheme="minorEastAsia"/>
                      <w:szCs w:val="21"/>
                      <w:lang w:val="en-US" w:eastAsia="zh-CN"/>
                    </w:rPr>
                    <m:t>(</m:t>
                  </m:r>
                  <m:r>
                    <m:rPr/>
                    <w:rPr>
                      <w:rFonts w:ascii="Cambria Math" w:hAnsi="Cambria Math" w:cs="Cambria Math" w:eastAsiaTheme="minorEastAsia"/>
                      <w:szCs w:val="21"/>
                    </w:rPr>
                    <m:t>P</m:t>
                  </m:r>
                  <m:ctrlPr>
                    <w:rPr>
                      <w:rFonts w:ascii="Cambria Math" w:hAnsi="Cambria Math" w:cs="Cambria Math" w:eastAsiaTheme="minorEastAsia"/>
                      <w:i/>
                      <w:iCs/>
                      <w:szCs w:val="21"/>
                    </w:rPr>
                  </m:ctrlPr>
                </m:e>
                <m:sub>
                  <m:r>
                    <m:rPr/>
                    <w:rPr>
                      <w:rFonts w:ascii="Cambria Math" w:hAnsi="Cambria Math" w:cs="Cambria Math" w:eastAsiaTheme="minorEastAsia"/>
                      <w:szCs w:val="21"/>
                    </w:rPr>
                    <m:t>C</m:t>
                  </m:r>
                  <m:r>
                    <m:rPr/>
                    <w:rPr>
                      <w:rFonts w:hint="default" w:ascii="Cambria Math" w:hAnsi="Cambria Math" w:cs="Cambria Math" w:eastAsiaTheme="minorEastAsia"/>
                      <w:szCs w:val="21"/>
                      <w:lang w:val="en-US"/>
                    </w:rPr>
                    <m:t>R</m:t>
                  </m:r>
                  <m:r>
                    <m:rPr/>
                    <w:rPr>
                      <w:rFonts w:ascii="Cambria Math" w:hAnsi="Cambria Math" w:cs="Cambria Math" w:eastAsiaTheme="minorEastAsia"/>
                      <w:szCs w:val="21"/>
                    </w:rPr>
                    <m:t>i</m:t>
                  </m:r>
                  <m:ctrlPr>
                    <w:rPr>
                      <w:rFonts w:ascii="Cambria Math" w:hAnsi="Cambria Math" w:cs="Cambria Math" w:eastAsiaTheme="minorEastAsia"/>
                      <w:i/>
                      <w:iCs/>
                      <w:szCs w:val="21"/>
                    </w:rPr>
                  </m:ctrlPr>
                </m:sub>
              </m:sSub>
              <m:r>
                <m:rPr/>
                <w:rPr>
                  <w:rFonts w:ascii="Cambria Math" w:hAnsi="Cambria Math" w:cs="Cambria Math" w:eastAsiaTheme="minorEastAsia"/>
                  <w:szCs w:val="21"/>
                </w:rPr>
                <m:t>−1</m:t>
              </m:r>
              <m:ctrlPr>
                <w:rPr>
                  <w:rFonts w:ascii="Cambria Math" w:hAnsi="Cambria Math" w:cs="Cambria Math" w:eastAsiaTheme="minorEastAsia"/>
                  <w:i/>
                  <w:iCs/>
                  <w:szCs w:val="21"/>
                </w:rPr>
              </m:ctrlPr>
            </m:e>
          </m:nary>
          <m:r>
            <m:rPr/>
            <w:rPr>
              <w:rFonts w:ascii="Cambria Math" w:hAnsi="Cambria Math" w:cs="Cambria Math" w:eastAsiaTheme="minorEastAsia"/>
              <w:szCs w:val="21"/>
            </w:rPr>
            <m:t>)+</m:t>
          </m:r>
          <m:nary>
            <m:naryPr>
              <m:chr m:val="∑"/>
              <m:limLoc m:val="undOvr"/>
              <m:ctrlPr>
                <w:rPr>
                  <w:rFonts w:ascii="Cambria Math" w:hAnsi="Cambria Math" w:cs="Cambria Math" w:eastAsiaTheme="minorEastAsia"/>
                  <w:i/>
                  <w:szCs w:val="21"/>
                </w:rPr>
              </m:ctrlPr>
            </m:naryPr>
            <m:sub>
              <m:r>
                <m:rPr/>
                <w:rPr>
                  <w:rFonts w:ascii="Cambria Math" w:hAnsi="Cambria Math" w:cs="Cambria Math" w:eastAsiaTheme="minorEastAsia"/>
                  <w:szCs w:val="21"/>
                </w:rPr>
                <m:t>1</m:t>
              </m:r>
              <m:ctrlPr>
                <w:rPr>
                  <w:rFonts w:ascii="Cambria Math" w:hAnsi="Cambria Math" w:cs="Cambria Math" w:eastAsiaTheme="minorEastAsia"/>
                  <w:i/>
                  <w:szCs w:val="21"/>
                </w:rPr>
              </m:ctrlPr>
            </m:sub>
            <m:sup>
              <m:r>
                <m:rPr/>
                <w:rPr>
                  <w:rFonts w:ascii="Cambria Math" w:hAnsi="Cambria Math" w:cs="Cambria Math" w:eastAsiaTheme="minorEastAsia"/>
                  <w:szCs w:val="21"/>
                </w:rPr>
                <m:t>m</m:t>
              </m:r>
              <m:ctrlPr>
                <w:rPr>
                  <w:rFonts w:ascii="Cambria Math" w:hAnsi="Cambria Math" w:cs="Cambria Math" w:eastAsiaTheme="minorEastAsia"/>
                  <w:i/>
                  <w:szCs w:val="21"/>
                </w:rPr>
              </m:ctrlPr>
            </m:sup>
            <m:e>
              <m:sSub>
                <m:sSubPr>
                  <m:ctrlPr>
                    <w:rPr>
                      <w:rFonts w:ascii="Cambria Math" w:hAnsi="Cambria Math" w:cs="Cambria Math" w:eastAsiaTheme="minorEastAsia"/>
                      <w:i/>
                      <w:iCs/>
                      <w:szCs w:val="21"/>
                    </w:rPr>
                  </m:ctrlPr>
                </m:sSubPr>
                <m:e>
                  <m:sSub>
                    <m:sSubPr>
                      <m:ctrlPr>
                        <w:rPr>
                          <w:rFonts w:ascii="Cambria Math" w:hAnsi="Cambria Math" w:cs="Cambria Math" w:eastAsiaTheme="minorEastAsia"/>
                          <w:i/>
                          <w:szCs w:val="21"/>
                        </w:rPr>
                      </m:ctrlPr>
                    </m:sSubPr>
                    <m:e>
                      <m:r>
                        <m:rPr/>
                        <w:rPr>
                          <w:rFonts w:ascii="Cambria Math" w:hAnsi="Cambria Math" w:cs="Arial" w:eastAsiaTheme="minorEastAsia"/>
                          <w:szCs w:val="21"/>
                        </w:rPr>
                        <m:t>β</m:t>
                      </m:r>
                      <m:ctrlPr>
                        <w:rPr>
                          <w:rFonts w:ascii="Cambria Math" w:hAnsi="Cambria Math" w:cs="Cambria Math" w:eastAsiaTheme="minorEastAsia"/>
                          <w:i/>
                          <w:szCs w:val="21"/>
                        </w:rPr>
                      </m:ctrlPr>
                    </m:e>
                    <m:sub>
                      <m:r>
                        <m:rPr/>
                        <w:rPr>
                          <w:rFonts w:ascii="Cambria Math" w:hAnsi="Cambria Math" w:cs="Cambria Math" w:eastAsiaTheme="minorEastAsia"/>
                          <w:szCs w:val="21"/>
                        </w:rPr>
                        <m:t>j</m:t>
                      </m:r>
                      <m:ctrlPr>
                        <w:rPr>
                          <w:rFonts w:ascii="Cambria Math" w:hAnsi="Cambria Math" w:cs="Cambria Math" w:eastAsiaTheme="minorEastAsia"/>
                          <w:i/>
                          <w:szCs w:val="21"/>
                        </w:rPr>
                      </m:ctrlPr>
                    </m:sub>
                  </m:sSub>
                  <m:r>
                    <m:rPr/>
                    <w:rPr>
                      <w:rFonts w:ascii="Cambria Math" w:hAnsi="Cambria Math" w:cs="Cambria Math" w:eastAsiaTheme="minorEastAsia"/>
                      <w:szCs w:val="21"/>
                    </w:rPr>
                    <m:t>∗(P</m:t>
                  </m:r>
                  <m:ctrlPr>
                    <w:rPr>
                      <w:rFonts w:ascii="Cambria Math" w:hAnsi="Cambria Math" w:cs="Cambria Math" w:eastAsiaTheme="minorEastAsia"/>
                      <w:i/>
                      <w:iCs/>
                      <w:szCs w:val="21"/>
                    </w:rPr>
                  </m:ctrlPr>
                </m:e>
                <m:sub>
                  <m:r>
                    <m:rPr/>
                    <w:rPr>
                      <w:rFonts w:ascii="Cambria Math" w:hAnsi="Cambria Math" w:cs="Cambria Math" w:eastAsiaTheme="minorEastAsia"/>
                      <w:szCs w:val="21"/>
                    </w:rPr>
                    <m:t>C</m:t>
                  </m:r>
                  <m:r>
                    <m:rPr/>
                    <w:rPr>
                      <w:rFonts w:hint="default" w:ascii="Cambria Math" w:hAnsi="Cambria Math" w:cs="Cambria Math" w:eastAsiaTheme="minorEastAsia"/>
                      <w:szCs w:val="21"/>
                      <w:lang w:val="en-US"/>
                    </w:rPr>
                    <m:t>R</m:t>
                  </m:r>
                  <m:r>
                    <m:rPr/>
                    <w:rPr>
                      <w:rFonts w:ascii="Cambria Math" w:hAnsi="Cambria Math" w:cs="Cambria Math" w:eastAsiaTheme="minorEastAsia"/>
                      <w:szCs w:val="21"/>
                    </w:rPr>
                    <m:t>j</m:t>
                  </m:r>
                  <m:ctrlPr>
                    <w:rPr>
                      <w:rFonts w:ascii="Cambria Math" w:hAnsi="Cambria Math" w:cs="Cambria Math" w:eastAsiaTheme="minorEastAsia"/>
                      <w:i/>
                      <w:iCs/>
                      <w:szCs w:val="21"/>
                    </w:rPr>
                  </m:ctrlPr>
                </m:sub>
              </m:sSub>
              <m:r>
                <m:rPr/>
                <w:rPr>
                  <w:rFonts w:ascii="Cambria Math" w:hAnsi="Cambria Math" w:cs="Cambria Math" w:eastAsiaTheme="minorEastAsia"/>
                  <w:szCs w:val="21"/>
                </w:rPr>
                <m:t>−1)</m:t>
              </m:r>
              <m:ctrlPr>
                <w:rPr>
                  <w:rFonts w:ascii="Cambria Math" w:hAnsi="Cambria Math" w:cs="Cambria Math" w:eastAsiaTheme="minorEastAsia"/>
                  <w:i/>
                  <w:szCs w:val="21"/>
                </w:rPr>
              </m:ctrlPr>
            </m:e>
          </m:nary>
          <m:r>
            <m:rPr/>
            <w:rPr>
              <w:rFonts w:ascii="Cambria Math" w:hAnsi="Cambria Math" w:cs="Cambria Math" w:eastAsiaTheme="minorEastAsia"/>
              <w:szCs w:val="21"/>
            </w:rPr>
            <m:t>+</m:t>
          </m:r>
          <m:nary>
            <m:naryPr>
              <m:chr m:val="∑"/>
              <m:limLoc m:val="undOvr"/>
              <m:ctrlPr>
                <w:rPr>
                  <w:rFonts w:ascii="Cambria Math" w:hAnsi="Cambria Math" w:cs="Cambria Math" w:eastAsiaTheme="minorEastAsia"/>
                  <w:i/>
                  <w:szCs w:val="21"/>
                </w:rPr>
              </m:ctrlPr>
            </m:naryPr>
            <m:sub>
              <m:r>
                <m:rPr/>
                <w:rPr>
                  <w:rFonts w:ascii="Cambria Math" w:hAnsi="Cambria Math" w:cs="Cambria Math" w:eastAsiaTheme="minorEastAsia"/>
                  <w:szCs w:val="21"/>
                </w:rPr>
                <m:t>1</m:t>
              </m:r>
              <m:ctrlPr>
                <w:rPr>
                  <w:rFonts w:ascii="Cambria Math" w:hAnsi="Cambria Math" w:cs="Cambria Math" w:eastAsiaTheme="minorEastAsia"/>
                  <w:i/>
                  <w:szCs w:val="21"/>
                </w:rPr>
              </m:ctrlPr>
            </m:sub>
            <m:sup>
              <m:r>
                <m:rPr/>
                <w:rPr>
                  <w:rFonts w:ascii="Cambria Math" w:hAnsi="Cambria Math" w:cs="Cambria Math" w:eastAsiaTheme="minorEastAsia"/>
                  <w:szCs w:val="21"/>
                </w:rPr>
                <m:t>q</m:t>
              </m:r>
              <m:ctrlPr>
                <w:rPr>
                  <w:rFonts w:ascii="Cambria Math" w:hAnsi="Cambria Math" w:cs="Cambria Math" w:eastAsiaTheme="minorEastAsia"/>
                  <w:i/>
                  <w:szCs w:val="21"/>
                </w:rPr>
              </m:ctrlPr>
            </m:sup>
            <m:e>
              <m:sSub>
                <m:sSubPr>
                  <m:ctrlPr>
                    <w:rPr>
                      <w:rFonts w:ascii="Cambria Math" w:hAnsi="Cambria Math" w:cs="Cambria Math" w:eastAsiaTheme="minorEastAsia"/>
                      <w:i/>
                      <w:iCs/>
                      <w:szCs w:val="21"/>
                    </w:rPr>
                  </m:ctrlPr>
                </m:sSubPr>
                <m:e>
                  <m:sSub>
                    <m:sSubPr>
                      <m:ctrlPr>
                        <w:rPr>
                          <w:rFonts w:ascii="Cambria Math" w:hAnsi="Cambria Math" w:cs="Cambria Math" w:eastAsiaTheme="minorEastAsia"/>
                          <w:i/>
                          <w:szCs w:val="21"/>
                        </w:rPr>
                      </m:ctrlPr>
                    </m:sSubPr>
                    <m:e>
                      <m:r>
                        <m:rPr/>
                        <w:rPr>
                          <w:rFonts w:ascii="Cambria Math" w:hAnsi="Cambria Math" w:cs="Cambria Math" w:eastAsiaTheme="minorEastAsia"/>
                          <w:szCs w:val="21"/>
                        </w:rPr>
                        <m:t>γ</m:t>
                      </m:r>
                      <m:ctrlPr>
                        <w:rPr>
                          <w:rFonts w:ascii="Cambria Math" w:hAnsi="Cambria Math" w:cs="Cambria Math" w:eastAsiaTheme="minorEastAsia"/>
                          <w:i/>
                          <w:szCs w:val="21"/>
                        </w:rPr>
                      </m:ctrlPr>
                    </m:e>
                    <m:sub>
                      <m:r>
                        <m:rPr/>
                        <w:rPr>
                          <w:rFonts w:ascii="Cambria Math" w:hAnsi="Cambria Math" w:cs="Cambria Math" w:eastAsiaTheme="minorEastAsia"/>
                          <w:szCs w:val="21"/>
                        </w:rPr>
                        <m:t>k</m:t>
                      </m:r>
                      <m:ctrlPr>
                        <w:rPr>
                          <w:rFonts w:ascii="Cambria Math" w:hAnsi="Cambria Math" w:cs="Cambria Math" w:eastAsiaTheme="minorEastAsia"/>
                          <w:i/>
                          <w:szCs w:val="21"/>
                        </w:rPr>
                      </m:ctrlPr>
                    </m:sub>
                  </m:sSub>
                  <m:r>
                    <m:rPr/>
                    <w:rPr>
                      <w:rFonts w:ascii="Cambria Math" w:hAnsi="Cambria Math" w:cs="Cambria Math" w:eastAsiaTheme="minorEastAsia"/>
                      <w:szCs w:val="21"/>
                    </w:rPr>
                    <m:t>∗(P</m:t>
                  </m:r>
                  <m:ctrlPr>
                    <w:rPr>
                      <w:rFonts w:ascii="Cambria Math" w:hAnsi="Cambria Math" w:cs="Cambria Math" w:eastAsiaTheme="minorEastAsia"/>
                      <w:i/>
                      <w:iCs/>
                      <w:szCs w:val="21"/>
                    </w:rPr>
                  </m:ctrlPr>
                </m:e>
                <m:sub>
                  <m:r>
                    <m:rPr/>
                    <w:rPr>
                      <w:rFonts w:ascii="Cambria Math" w:hAnsi="Cambria Math" w:cs="Cambria Math" w:eastAsiaTheme="minorEastAsia"/>
                      <w:szCs w:val="21"/>
                    </w:rPr>
                    <m:t>CRk</m:t>
                  </m:r>
                  <m:ctrlPr>
                    <w:rPr>
                      <w:rFonts w:ascii="Cambria Math" w:hAnsi="Cambria Math" w:cs="Cambria Math" w:eastAsiaTheme="minorEastAsia"/>
                      <w:i/>
                      <w:iCs/>
                      <w:szCs w:val="21"/>
                    </w:rPr>
                  </m:ctrlPr>
                </m:sub>
              </m:sSub>
              <m:ctrlPr>
                <w:rPr>
                  <w:rFonts w:ascii="Cambria Math" w:hAnsi="Cambria Math" w:cs="Cambria Math" w:eastAsiaTheme="minorEastAsia"/>
                  <w:i/>
                  <w:szCs w:val="21"/>
                </w:rPr>
              </m:ctrlPr>
            </m:e>
          </m:nary>
          <m:r>
            <m:rPr>
              <m:sty m:val="p"/>
            </m:rPr>
            <w:rPr>
              <w:rFonts w:eastAsiaTheme="minorEastAsia"/>
            </w:rPr>
            <m:t>−</m:t>
          </m:r>
          <m:r>
            <m:rPr>
              <m:sty m:val="p"/>
            </m:rPr>
            <w:rPr>
              <w:rFonts w:ascii="Cambria Math" w:hAnsi="Cambria Math"/>
            </w:rPr>
            <m:t>1)</m:t>
          </m:r>
        </m:oMath>
      </m:oMathPara>
    </w:p>
    <w:p w14:paraId="565AFFDA">
      <w:pPr>
        <w:adjustRightInd/>
        <w:snapToGrid/>
        <w:spacing w:before="0" w:beforeLines="0"/>
        <w:ind w:firstLine="420"/>
        <w:rPr>
          <w:rFonts w:ascii="Times New Roman" w:hAnsi="Times New Roman" w:cs="Times New Roman" w:eastAsiaTheme="minorEastAsia"/>
          <w:szCs w:val="21"/>
        </w:rPr>
      </w:pPr>
      <w:r>
        <w:rPr>
          <w:rFonts w:hint="eastAsia" w:ascii="Times New Roman" w:hAnsi="Times New Roman" w:cs="Times New Roman" w:eastAsiaTheme="minorEastAsia"/>
          <w:szCs w:val="21"/>
        </w:rPr>
        <w:t>式中：</w:t>
      </w:r>
    </w:p>
    <w:p w14:paraId="066B0FB0">
      <w:pPr>
        <w:adjustRightInd/>
        <w:snapToGrid/>
        <w:spacing w:before="0" w:beforeLines="0"/>
        <w:ind w:firstLine="420"/>
        <w:rPr>
          <w:rFonts w:ascii="Times New Roman" w:hAnsi="Times New Roman" w:cs="Times New Roman" w:eastAsiaTheme="minorEastAsia"/>
          <w:szCs w:val="21"/>
        </w:rPr>
      </w:pPr>
      <w:r>
        <w:rPr>
          <w:rFonts w:hint="eastAsia" w:ascii="Times New Roman" w:hAnsi="Times New Roman" w:cs="Times New Roman" w:eastAsiaTheme="minorEastAsia"/>
          <w:i/>
          <w:iCs/>
          <w:szCs w:val="21"/>
        </w:rPr>
        <w:t>∆OQI</w:t>
      </w:r>
      <w:r>
        <w:rPr>
          <w:rFonts w:hint="eastAsia" w:ascii="Times New Roman" w:hAnsi="Times New Roman" w:cs="Times New Roman" w:eastAsiaTheme="minorEastAsia"/>
          <w:szCs w:val="21"/>
        </w:rPr>
        <w:t>：规划目标完成度，反映区域生态质量动态变化的综合评价值</w:t>
      </w:r>
      <w:r>
        <w:rPr>
          <w:rFonts w:hint="eastAsia" w:ascii="Times New Roman" w:hAnsi="Times New Roman" w:cs="Times New Roman"/>
          <w:szCs w:val="21"/>
        </w:rPr>
        <w:t>；</w:t>
      </w:r>
    </w:p>
    <w:p w14:paraId="4E397798">
      <w:pPr>
        <w:adjustRightInd/>
        <w:snapToGrid/>
        <w:spacing w:before="0" w:beforeLines="0"/>
        <w:ind w:firstLine="420"/>
        <w:rPr>
          <w:rFonts w:ascii="Times New Roman" w:hAnsi="Times New Roman" w:cs="Times New Roman" w:eastAsiaTheme="minorEastAsia"/>
          <w:szCs w:val="21"/>
        </w:rPr>
      </w:pPr>
      <m:oMath>
        <m:sSub>
          <m:sSubPr>
            <m:ctrlPr>
              <w:rPr>
                <w:rFonts w:ascii="Cambria Math" w:hAnsi="Cambria Math" w:cs="Cambria Math" w:eastAsiaTheme="minorEastAsia"/>
                <w:i/>
                <w:iCs/>
                <w:szCs w:val="21"/>
              </w:rPr>
            </m:ctrlPr>
          </m:sSubPr>
          <m:e>
            <m:r>
              <m:rPr/>
              <w:rPr>
                <w:rFonts w:ascii="Cambria Math" w:hAnsi="Cambria Math" w:cs="Cambria Math" w:eastAsiaTheme="minorEastAsia"/>
                <w:szCs w:val="21"/>
              </w:rPr>
              <m:t>P</m:t>
            </m:r>
            <m:ctrlPr>
              <w:rPr>
                <w:rFonts w:ascii="Cambria Math" w:hAnsi="Cambria Math" w:cs="Cambria Math" w:eastAsiaTheme="minorEastAsia"/>
                <w:i/>
                <w:iCs/>
                <w:szCs w:val="21"/>
              </w:rPr>
            </m:ctrlPr>
          </m:e>
          <m:sub>
            <m:r>
              <m:rPr/>
              <w:rPr>
                <w:rFonts w:ascii="Cambria Math" w:hAnsi="Cambria Math" w:cs="Cambria Math" w:eastAsiaTheme="minorEastAsia"/>
                <w:szCs w:val="21"/>
              </w:rPr>
              <m:t>C</m:t>
            </m:r>
            <m:r>
              <m:rPr/>
              <w:rPr>
                <w:rFonts w:hint="default" w:ascii="Cambria Math" w:hAnsi="Cambria Math" w:cs="Cambria Math" w:eastAsiaTheme="minorEastAsia"/>
                <w:szCs w:val="21"/>
                <w:lang w:val="en-US" w:eastAsia="zh-CN"/>
              </w:rPr>
              <m:t>R</m:t>
            </m:r>
            <m:r>
              <m:rPr/>
              <w:rPr>
                <w:rFonts w:ascii="Cambria Math" w:hAnsi="Cambria Math" w:cs="Cambria Math" w:eastAsiaTheme="minorEastAsia"/>
                <w:szCs w:val="21"/>
              </w:rPr>
              <m:t>i</m:t>
            </m:r>
            <m:ctrlPr>
              <w:rPr>
                <w:rFonts w:ascii="Cambria Math" w:hAnsi="Cambria Math" w:cs="Cambria Math" w:eastAsiaTheme="minorEastAsia"/>
                <w:i/>
                <w:iCs/>
                <w:szCs w:val="21"/>
              </w:rPr>
            </m:ctrlPr>
          </m:sub>
        </m:sSub>
      </m:oMath>
      <w:r>
        <w:rPr>
          <w:rFonts w:hint="eastAsia" w:ascii="Times New Roman" w:hAnsi="Times New Roman" w:cs="Times New Roman" w:eastAsiaTheme="minorEastAsia"/>
          <w:szCs w:val="21"/>
        </w:rPr>
        <w:t>：第</w:t>
      </w:r>
      <w:r>
        <w:rPr>
          <w:rFonts w:hint="eastAsia" w:ascii="Times New Roman" w:hAnsi="Times New Roman" w:cs="Times New Roman" w:eastAsiaTheme="minorEastAsia"/>
          <w:i/>
          <w:iCs/>
          <w:szCs w:val="21"/>
        </w:rPr>
        <w:t>i</w:t>
      </w:r>
      <w:r>
        <w:rPr>
          <w:rFonts w:hint="eastAsia" w:ascii="Times New Roman" w:hAnsi="Times New Roman" w:cs="Times New Roman" w:eastAsiaTheme="minorEastAsia"/>
          <w:szCs w:val="21"/>
        </w:rPr>
        <w:t>项生态保护类指标完成度</w:t>
      </w:r>
      <w:r>
        <w:rPr>
          <w:rFonts w:hint="eastAsia" w:ascii="Times New Roman" w:hAnsi="Times New Roman" w:cs="Times New Roman"/>
          <w:szCs w:val="21"/>
        </w:rPr>
        <w:t>；</w:t>
      </w:r>
    </w:p>
    <w:p w14:paraId="72DFB18B">
      <w:pPr>
        <w:adjustRightInd/>
        <w:snapToGrid/>
        <w:spacing w:before="0" w:beforeLines="0"/>
        <w:ind w:firstLine="420"/>
        <w:rPr>
          <w:rFonts w:ascii="Times New Roman" w:hAnsi="Times New Roman" w:cs="Times New Roman" w:eastAsiaTheme="minorEastAsia"/>
          <w:szCs w:val="21"/>
        </w:rPr>
      </w:pPr>
      <m:oMath>
        <m:sSub>
          <m:sSubPr>
            <m:ctrlPr>
              <w:rPr>
                <w:rFonts w:ascii="Cambria Math" w:hAnsi="Cambria Math" w:cs="Cambria Math" w:eastAsiaTheme="minorEastAsia"/>
                <w:i/>
                <w:iCs/>
                <w:szCs w:val="21"/>
              </w:rPr>
            </m:ctrlPr>
          </m:sSubPr>
          <m:e>
            <m:r>
              <m:rPr/>
              <w:rPr>
                <w:rFonts w:ascii="Cambria Math" w:hAnsi="Cambria Math" w:cs="Cambria Math" w:eastAsiaTheme="minorEastAsia"/>
                <w:szCs w:val="21"/>
              </w:rPr>
              <m:t>P</m:t>
            </m:r>
            <m:ctrlPr>
              <w:rPr>
                <w:rFonts w:ascii="Cambria Math" w:hAnsi="Cambria Math" w:cs="Cambria Math" w:eastAsiaTheme="minorEastAsia"/>
                <w:i/>
                <w:iCs/>
                <w:szCs w:val="21"/>
              </w:rPr>
            </m:ctrlPr>
          </m:e>
          <m:sub>
            <m:r>
              <m:rPr/>
              <w:rPr>
                <w:rFonts w:ascii="Cambria Math" w:hAnsi="Cambria Math" w:cs="Cambria Math" w:eastAsiaTheme="minorEastAsia"/>
                <w:szCs w:val="21"/>
              </w:rPr>
              <m:t>C</m:t>
            </m:r>
            <m:r>
              <m:rPr/>
              <w:rPr>
                <w:rFonts w:hint="default" w:ascii="Cambria Math" w:hAnsi="Cambria Math" w:cs="Cambria Math" w:eastAsiaTheme="minorEastAsia"/>
                <w:szCs w:val="21"/>
                <w:lang w:val="en-US" w:eastAsia="zh-CN"/>
              </w:rPr>
              <m:t>R</m:t>
            </m:r>
            <m:r>
              <m:rPr/>
              <w:rPr>
                <w:rFonts w:ascii="Cambria Math" w:hAnsi="Cambria Math" w:cs="Cambria Math" w:eastAsiaTheme="minorEastAsia"/>
                <w:szCs w:val="21"/>
              </w:rPr>
              <m:t>j</m:t>
            </m:r>
            <m:ctrlPr>
              <w:rPr>
                <w:rFonts w:ascii="Cambria Math" w:hAnsi="Cambria Math" w:cs="Cambria Math" w:eastAsiaTheme="minorEastAsia"/>
                <w:i/>
                <w:iCs/>
                <w:szCs w:val="21"/>
              </w:rPr>
            </m:ctrlPr>
          </m:sub>
        </m:sSub>
      </m:oMath>
      <w:r>
        <w:rPr>
          <w:rFonts w:hint="eastAsia" w:ascii="Times New Roman" w:hAnsi="Times New Roman" w:cs="Times New Roman" w:eastAsiaTheme="minorEastAsia"/>
          <w:szCs w:val="21"/>
        </w:rPr>
        <w:t>：第</w:t>
      </w:r>
      <w:r>
        <w:rPr>
          <w:rFonts w:hint="eastAsia" w:ascii="Times New Roman" w:hAnsi="Times New Roman" w:cs="Times New Roman" w:eastAsiaTheme="minorEastAsia"/>
          <w:i/>
          <w:iCs/>
          <w:szCs w:val="21"/>
        </w:rPr>
        <w:t>j</w:t>
      </w:r>
      <w:r>
        <w:rPr>
          <w:rFonts w:hint="eastAsia" w:ascii="Times New Roman" w:hAnsi="Times New Roman" w:cs="Times New Roman" w:eastAsiaTheme="minorEastAsia"/>
          <w:szCs w:val="21"/>
        </w:rPr>
        <w:t>项生态修复类指标完成度</w:t>
      </w:r>
      <w:r>
        <w:rPr>
          <w:rFonts w:hint="eastAsia" w:ascii="Times New Roman" w:hAnsi="Times New Roman" w:cs="Times New Roman"/>
          <w:szCs w:val="21"/>
        </w:rPr>
        <w:t>；</w:t>
      </w:r>
    </w:p>
    <w:p w14:paraId="51CC3744">
      <w:pPr>
        <w:adjustRightInd/>
        <w:snapToGrid/>
        <w:spacing w:before="0" w:beforeLines="0"/>
        <w:ind w:firstLine="420"/>
        <w:rPr>
          <w:rFonts w:ascii="Times New Roman" w:hAnsi="Times New Roman" w:cs="Times New Roman" w:eastAsiaTheme="minorEastAsia"/>
          <w:szCs w:val="21"/>
        </w:rPr>
      </w:pPr>
      <m:oMath>
        <m:sSub>
          <m:sSubPr>
            <m:ctrlPr>
              <w:rPr>
                <w:rFonts w:ascii="Cambria Math" w:hAnsi="Cambria Math" w:cs="Cambria Math" w:eastAsiaTheme="minorEastAsia"/>
                <w:i/>
                <w:iCs/>
                <w:szCs w:val="21"/>
              </w:rPr>
            </m:ctrlPr>
          </m:sSubPr>
          <m:e>
            <m:r>
              <m:rPr/>
              <w:rPr>
                <w:rFonts w:ascii="Cambria Math" w:hAnsi="Cambria Math" w:cs="Cambria Math" w:eastAsiaTheme="minorEastAsia"/>
                <w:szCs w:val="21"/>
              </w:rPr>
              <m:t>P</m:t>
            </m:r>
            <m:ctrlPr>
              <w:rPr>
                <w:rFonts w:ascii="Cambria Math" w:hAnsi="Cambria Math" w:cs="Cambria Math" w:eastAsiaTheme="minorEastAsia"/>
                <w:i/>
                <w:iCs/>
                <w:szCs w:val="21"/>
              </w:rPr>
            </m:ctrlPr>
          </m:e>
          <m:sub>
            <m:r>
              <m:rPr/>
              <w:rPr>
                <w:rFonts w:ascii="Cambria Math" w:hAnsi="Cambria Math" w:cs="Cambria Math" w:eastAsiaTheme="minorEastAsia"/>
                <w:szCs w:val="21"/>
              </w:rPr>
              <m:t>C</m:t>
            </m:r>
            <m:r>
              <m:rPr/>
              <w:rPr>
                <w:rFonts w:hint="default" w:ascii="Cambria Math" w:hAnsi="Cambria Math" w:cs="Cambria Math" w:eastAsiaTheme="minorEastAsia"/>
                <w:szCs w:val="21"/>
                <w:lang w:val="en-US" w:eastAsia="zh-CN"/>
              </w:rPr>
              <m:t>R</m:t>
            </m:r>
            <m:r>
              <m:rPr/>
              <w:rPr>
                <w:rFonts w:ascii="Cambria Math" w:hAnsi="Cambria Math" w:cs="Cambria Math" w:eastAsiaTheme="minorEastAsia"/>
                <w:szCs w:val="21"/>
              </w:rPr>
              <m:t>k</m:t>
            </m:r>
            <m:ctrlPr>
              <w:rPr>
                <w:rFonts w:ascii="Cambria Math" w:hAnsi="Cambria Math" w:cs="Cambria Math" w:eastAsiaTheme="minorEastAsia"/>
                <w:i/>
                <w:iCs/>
                <w:szCs w:val="21"/>
              </w:rPr>
            </m:ctrlPr>
          </m:sub>
        </m:sSub>
      </m:oMath>
      <w:r>
        <w:rPr>
          <w:rFonts w:hint="eastAsia" w:hAnsi="Cambria Math" w:cs="Cambria Math" w:eastAsiaTheme="minorEastAsia"/>
          <w:iCs/>
          <w:szCs w:val="21"/>
        </w:rPr>
        <w:t>：</w:t>
      </w:r>
      <w:r>
        <w:rPr>
          <w:rFonts w:hint="eastAsia" w:ascii="Times New Roman" w:hAnsi="Times New Roman" w:cs="Times New Roman" w:eastAsiaTheme="minorEastAsia"/>
          <w:szCs w:val="21"/>
        </w:rPr>
        <w:t>第</w:t>
      </w:r>
      <w:r>
        <w:rPr>
          <w:rFonts w:hint="eastAsia" w:ascii="Times New Roman" w:hAnsi="Times New Roman" w:cs="Times New Roman" w:eastAsiaTheme="minorEastAsia"/>
          <w:i/>
          <w:iCs/>
          <w:szCs w:val="21"/>
        </w:rPr>
        <w:t>k</w:t>
      </w:r>
      <w:r>
        <w:rPr>
          <w:rFonts w:hint="eastAsia" w:ascii="Times New Roman" w:hAnsi="Times New Roman" w:cs="Times New Roman" w:eastAsiaTheme="minorEastAsia"/>
          <w:szCs w:val="21"/>
        </w:rPr>
        <w:t>项生态质量类指标完成度</w:t>
      </w:r>
      <w:r>
        <w:rPr>
          <w:rFonts w:hint="eastAsia" w:ascii="Times New Roman" w:hAnsi="Times New Roman" w:cs="Times New Roman"/>
          <w:szCs w:val="21"/>
        </w:rPr>
        <w:t>；</w:t>
      </w:r>
    </w:p>
    <w:p w14:paraId="1BD216CB">
      <w:pPr>
        <w:adjustRightInd/>
        <w:snapToGrid/>
        <w:spacing w:before="0" w:beforeLines="0"/>
        <w:ind w:firstLine="420"/>
        <w:rPr>
          <w:rFonts w:ascii="Times New Roman" w:hAnsi="Times New Roman" w:cs="Times New Roman" w:eastAsiaTheme="minorEastAsia"/>
          <w:szCs w:val="21"/>
        </w:rPr>
      </w:pPr>
      <w:r>
        <w:rPr>
          <w:rFonts w:hint="eastAsia" w:ascii="Times New Roman" w:hAnsi="Times New Roman" w:cs="Times New Roman" w:eastAsiaTheme="minorEastAsia"/>
          <w:i/>
          <w:iCs/>
          <w:szCs w:val="21"/>
          <w:lang w:eastAsia="zh-CN"/>
        </w:rPr>
        <w:t>n.</w:t>
      </w:r>
      <w:r>
        <w:rPr>
          <w:rFonts w:hint="eastAsia" w:ascii="Times New Roman" w:hAnsi="Times New Roman" w:cs="Times New Roman" w:eastAsiaTheme="minorEastAsia"/>
          <w:szCs w:val="21"/>
        </w:rPr>
        <w:t>生态保护类指标总数</w:t>
      </w:r>
      <w:r>
        <w:rPr>
          <w:rFonts w:hint="eastAsia" w:ascii="Times New Roman" w:hAnsi="Times New Roman" w:cs="Times New Roman"/>
          <w:szCs w:val="21"/>
        </w:rPr>
        <w:t>；</w:t>
      </w:r>
    </w:p>
    <w:p w14:paraId="29464ED9">
      <w:pPr>
        <w:adjustRightInd/>
        <w:snapToGrid/>
        <w:spacing w:before="0" w:beforeLines="0"/>
        <w:ind w:firstLine="420"/>
        <w:rPr>
          <w:rFonts w:ascii="Times New Roman" w:hAnsi="Times New Roman" w:cs="Times New Roman" w:eastAsiaTheme="minorEastAsia"/>
          <w:szCs w:val="21"/>
        </w:rPr>
      </w:pPr>
      <w:r>
        <w:rPr>
          <w:rFonts w:hint="eastAsia" w:ascii="Times New Roman" w:hAnsi="Times New Roman" w:cs="Times New Roman" w:eastAsiaTheme="minorEastAsia"/>
          <w:i/>
          <w:iCs/>
          <w:szCs w:val="21"/>
          <w:lang w:eastAsia="zh-CN"/>
        </w:rPr>
        <w:t>m.</w:t>
      </w:r>
      <w:r>
        <w:rPr>
          <w:rFonts w:hint="eastAsia" w:ascii="Times New Roman" w:hAnsi="Times New Roman" w:cs="Times New Roman" w:eastAsiaTheme="minorEastAsia"/>
          <w:szCs w:val="21"/>
        </w:rPr>
        <w:t>生态修复类指标总数</w:t>
      </w:r>
      <w:r>
        <w:rPr>
          <w:rFonts w:hint="eastAsia" w:ascii="Times New Roman" w:hAnsi="Times New Roman" w:cs="Times New Roman"/>
          <w:szCs w:val="21"/>
        </w:rPr>
        <w:t>；</w:t>
      </w:r>
    </w:p>
    <w:p w14:paraId="1ABB13C0">
      <w:pPr>
        <w:adjustRightInd/>
        <w:snapToGrid/>
        <w:spacing w:before="0" w:beforeLines="0"/>
        <w:ind w:firstLine="420"/>
        <w:rPr>
          <w:rFonts w:ascii="Times New Roman" w:hAnsi="Times New Roman" w:cs="Times New Roman" w:eastAsiaTheme="minorEastAsia"/>
          <w:szCs w:val="21"/>
        </w:rPr>
      </w:pPr>
      <w:r>
        <w:rPr>
          <w:rFonts w:hint="eastAsia" w:ascii="Times New Roman" w:hAnsi="Times New Roman" w:cs="Times New Roman" w:eastAsiaTheme="minorEastAsia"/>
          <w:i/>
          <w:iCs/>
          <w:szCs w:val="21"/>
          <w:lang w:eastAsia="zh-CN"/>
        </w:rPr>
        <w:t>q.</w:t>
      </w:r>
      <w:r>
        <w:rPr>
          <w:rFonts w:hint="eastAsia" w:ascii="Times New Roman" w:hAnsi="Times New Roman" w:cs="Times New Roman" w:eastAsiaTheme="minorEastAsia"/>
          <w:szCs w:val="21"/>
        </w:rPr>
        <w:t>生态质量类指标总数</w:t>
      </w:r>
      <w:r>
        <w:rPr>
          <w:rFonts w:hint="eastAsia" w:ascii="Times New Roman" w:hAnsi="Times New Roman" w:cs="Times New Roman"/>
          <w:szCs w:val="21"/>
        </w:rPr>
        <w:t>；</w:t>
      </w:r>
    </w:p>
    <w:p w14:paraId="7CCEC4B0">
      <w:pPr>
        <w:adjustRightInd/>
        <w:snapToGrid/>
        <w:spacing w:before="0" w:beforeLines="0"/>
        <w:ind w:firstLine="420"/>
        <w:rPr>
          <w:rFonts w:ascii="Times New Roman" w:hAnsi="Times New Roman" w:cs="Times New Roman" w:eastAsiaTheme="minorEastAsia"/>
          <w:szCs w:val="21"/>
        </w:rPr>
      </w:pPr>
      <w:r>
        <w:rPr>
          <w:rFonts w:ascii="Times New Roman" w:hAnsi="Times New Roman" w:cs="Times New Roman" w:eastAsiaTheme="minorEastAsia"/>
          <w:i/>
          <w:iCs/>
          <w:szCs w:val="21"/>
        </w:rPr>
        <w:t>α、β</w:t>
      </w:r>
      <w:r>
        <w:rPr>
          <w:rFonts w:hint="eastAsia" w:ascii="Times New Roman" w:hAnsi="Times New Roman" w:cs="Times New Roman" w:eastAsiaTheme="minorEastAsia"/>
          <w:szCs w:val="21"/>
        </w:rPr>
        <w:t>、</w:t>
      </w:r>
      <w:r>
        <w:rPr>
          <w:rFonts w:ascii="Times New Roman" w:hAnsi="Times New Roman" w:cs="Times New Roman" w:eastAsiaTheme="minorEastAsia"/>
          <w:i/>
          <w:iCs/>
          <w:szCs w:val="21"/>
        </w:rPr>
        <w:t>γ</w:t>
      </w:r>
      <w:r>
        <w:rPr>
          <w:rFonts w:hint="eastAsia" w:ascii="Times New Roman" w:hAnsi="Times New Roman" w:cs="Times New Roman" w:eastAsiaTheme="minorEastAsia"/>
          <w:szCs w:val="21"/>
        </w:rPr>
        <w:t>：生态保护、生态修复、生态质量类指标权重系数</w:t>
      </w:r>
      <w:r>
        <w:rPr>
          <w:rFonts w:ascii="Times New Roman" w:hAnsi="Times New Roman" w:cs="Times New Roman"/>
          <w:szCs w:val="21"/>
        </w:rPr>
        <w:t>。</w:t>
      </w:r>
    </w:p>
    <w:p w14:paraId="19DD4E1E">
      <w:pPr>
        <w:pStyle w:val="64"/>
        <w:spacing w:before="312" w:beforeLines="100" w:after="156" w:afterLines="50"/>
        <w:outlineLvl w:val="2"/>
        <w:rPr>
          <w:rFonts w:hint="eastAsia" w:ascii="黑体" w:hAnsi="黑体" w:eastAsia="黑体" w:cs="黑体"/>
        </w:rPr>
      </w:pPr>
      <w:r>
        <w:rPr>
          <w:rFonts w:hint="eastAsia" w:ascii="黑体" w:hAnsi="黑体" w:eastAsia="黑体" w:cs="黑体"/>
        </w:rPr>
        <w:t>生态效果提升率</w:t>
      </w:r>
    </w:p>
    <w:p w14:paraId="6B130C43">
      <w:pPr>
        <w:adjustRightInd/>
        <w:snapToGrid/>
        <w:spacing w:before="0" w:beforeLines="0"/>
        <w:ind w:firstLine="420"/>
        <w:rPr>
          <w:rFonts w:ascii="Times New Roman" w:hAnsi="Times New Roman" w:cs="Times New Roman" w:eastAsiaTheme="minorEastAsia"/>
          <w:szCs w:val="21"/>
        </w:rPr>
      </w:pPr>
      <m:oMathPara>
        <m:oMath>
          <m:r>
            <m:rPr/>
            <w:rPr>
              <w:rFonts w:ascii="Cambria Math" w:hAnsi="Cambria Math" w:cs="Times New Roman"/>
              <w:szCs w:val="21"/>
            </w:rPr>
            <m:t>∆EQI=</m:t>
          </m:r>
          <m:nary>
            <m:naryPr>
              <m:chr m:val="∑"/>
              <m:limLoc m:val="undOvr"/>
              <m:ctrlPr>
                <w:rPr>
                  <w:rFonts w:ascii="Cambria Math" w:hAnsi="Cambria Math" w:cs="Cambria Math" w:eastAsiaTheme="minorEastAsia"/>
                  <w:i/>
                  <w:szCs w:val="21"/>
                </w:rPr>
              </m:ctrlPr>
            </m:naryPr>
            <m:sub>
              <m:r>
                <m:rPr/>
                <w:rPr>
                  <w:rFonts w:ascii="Cambria Math" w:hAnsi="Cambria Math" w:cs="Cambria Math" w:eastAsiaTheme="minorEastAsia"/>
                  <w:szCs w:val="21"/>
                </w:rPr>
                <m:t>1</m:t>
              </m:r>
              <m:ctrlPr>
                <w:rPr>
                  <w:rFonts w:ascii="Cambria Math" w:hAnsi="Cambria Math" w:cs="Cambria Math" w:eastAsiaTheme="minorEastAsia"/>
                  <w:i/>
                  <w:szCs w:val="21"/>
                </w:rPr>
              </m:ctrlPr>
            </m:sub>
            <m:sup>
              <m:r>
                <m:rPr/>
                <w:rPr>
                  <w:rFonts w:hint="default" w:ascii="Cambria Math" w:hAnsi="Cambria Math" w:cs="Cambria Math" w:eastAsiaTheme="minorEastAsia"/>
                  <w:szCs w:val="21"/>
                  <w:lang w:val="en-US" w:eastAsia="zh-CN"/>
                </w:rPr>
                <m:t>x</m:t>
              </m:r>
              <m:ctrlPr>
                <w:rPr>
                  <w:rFonts w:ascii="Cambria Math" w:hAnsi="Cambria Math" w:cs="Cambria Math" w:eastAsiaTheme="minorEastAsia"/>
                  <w:i/>
                  <w:szCs w:val="21"/>
                </w:rPr>
              </m:ctrlPr>
            </m:sup>
            <m:e>
              <m:sSub>
                <m:sSubPr>
                  <m:ctrlPr>
                    <w:rPr>
                      <w:rFonts w:ascii="Cambria Math" w:hAnsi="Cambria Math" w:cs="Times New Roman"/>
                      <w:i/>
                      <w:iCs/>
                      <w:szCs w:val="21"/>
                    </w:rPr>
                  </m:ctrlPr>
                </m:sSubPr>
                <m:e>
                  <m:sSub>
                    <m:sSubPr>
                      <m:ctrlPr>
                        <w:rPr>
                          <w:rFonts w:ascii="Cambria Math" w:hAnsi="Cambria Math" w:cs="Times New Roman"/>
                          <w:i/>
                          <w:iCs/>
                          <w:szCs w:val="21"/>
                        </w:rPr>
                      </m:ctrlPr>
                    </m:sSubPr>
                    <m:e>
                      <m:r>
                        <m:rPr/>
                        <w:rPr>
                          <w:rFonts w:ascii="Cambria Math" w:hAnsi="Cambria Math" w:cs="Cambria Math"/>
                          <w:szCs w:val="21"/>
                        </w:rPr>
                        <m:t>α</m:t>
                      </m:r>
                      <m:ctrlPr>
                        <w:rPr>
                          <w:rFonts w:ascii="Cambria Math" w:hAnsi="Cambria Math" w:cs="Times New Roman"/>
                          <w:i/>
                          <w:iCs/>
                          <w:szCs w:val="21"/>
                        </w:rPr>
                      </m:ctrlPr>
                    </m:e>
                    <m:sub>
                      <m:r>
                        <m:rPr/>
                        <w:rPr>
                          <w:rFonts w:ascii="Cambria Math" w:hAnsi="Cambria Math" w:cs="Times New Roman"/>
                          <w:szCs w:val="21"/>
                        </w:rPr>
                        <m:t>l</m:t>
                      </m:r>
                      <m:ctrlPr>
                        <w:rPr>
                          <w:rFonts w:ascii="Cambria Math" w:hAnsi="Cambria Math" w:cs="Times New Roman"/>
                          <w:i/>
                          <w:iCs/>
                          <w:szCs w:val="21"/>
                        </w:rPr>
                      </m:ctrlPr>
                    </m:sub>
                  </m:sSub>
                  <m:r>
                    <m:rPr/>
                    <w:rPr>
                      <w:rFonts w:ascii="Cambria Math" w:hAnsi="Cambria Math" w:cs="Cambria Math"/>
                      <w:szCs w:val="21"/>
                    </w:rPr>
                    <m:t>∗</m:t>
                  </m:r>
                  <m:r>
                    <m:rPr/>
                    <w:rPr>
                      <w:rFonts w:ascii="Cambria Math" w:hAnsi="Cambria Math" w:cs="Times New Roman"/>
                      <w:szCs w:val="21"/>
                    </w:rPr>
                    <m:t>P</m:t>
                  </m:r>
                  <m:ctrlPr>
                    <w:rPr>
                      <w:rFonts w:ascii="Cambria Math" w:hAnsi="Cambria Math" w:cs="Times New Roman"/>
                      <w:i/>
                      <w:iCs/>
                      <w:szCs w:val="21"/>
                    </w:rPr>
                  </m:ctrlPr>
                </m:e>
                <m:sub>
                  <m:r>
                    <m:rPr/>
                    <w:rPr>
                      <w:rFonts w:ascii="Cambria Math" w:hAnsi="Cambria Math" w:cs="Times New Roman"/>
                      <w:szCs w:val="21"/>
                    </w:rPr>
                    <m:t>CIl</m:t>
                  </m:r>
                  <m:ctrlPr>
                    <w:rPr>
                      <w:rFonts w:ascii="Cambria Math" w:hAnsi="Cambria Math" w:cs="Times New Roman"/>
                      <w:i/>
                      <w:iCs/>
                      <w:szCs w:val="21"/>
                    </w:rPr>
                  </m:ctrlPr>
                </m:sub>
              </m:sSub>
              <m:ctrlPr>
                <w:rPr>
                  <w:rFonts w:ascii="Cambria Math" w:hAnsi="Cambria Math" w:cs="Cambria Math" w:eastAsiaTheme="minorEastAsia"/>
                  <w:i/>
                  <w:szCs w:val="21"/>
                </w:rPr>
              </m:ctrlPr>
            </m:e>
          </m:nary>
          <m:r>
            <m:rPr>
              <m:sty m:val="p"/>
            </m:rPr>
            <w:rPr>
              <w:rFonts w:ascii="Cambria Math" w:hAnsi="Cambria Math"/>
            </w:rPr>
            <m:t>+</m:t>
          </m:r>
          <m:nary>
            <m:naryPr>
              <m:chr m:val="∑"/>
              <m:limLoc m:val="undOvr"/>
              <m:ctrlPr>
                <w:rPr>
                  <w:rFonts w:ascii="Cambria Math" w:hAnsi="Cambria Math" w:cs="Cambria Math" w:eastAsiaTheme="minorEastAsia"/>
                  <w:i/>
                  <w:szCs w:val="21"/>
                </w:rPr>
              </m:ctrlPr>
            </m:naryPr>
            <m:sub>
              <m:r>
                <m:rPr/>
                <w:rPr>
                  <w:rFonts w:ascii="Cambria Math" w:hAnsi="Cambria Math" w:cs="Cambria Math" w:eastAsiaTheme="minorEastAsia"/>
                  <w:szCs w:val="21"/>
                </w:rPr>
                <m:t>1</m:t>
              </m:r>
              <m:ctrlPr>
                <w:rPr>
                  <w:rFonts w:ascii="Cambria Math" w:hAnsi="Cambria Math" w:cs="Cambria Math" w:eastAsiaTheme="minorEastAsia"/>
                  <w:i/>
                  <w:szCs w:val="21"/>
                </w:rPr>
              </m:ctrlPr>
            </m:sub>
            <m:sup>
              <m:r>
                <m:rPr/>
                <w:rPr>
                  <w:rFonts w:ascii="Cambria Math" w:hAnsi="Cambria Math" w:cs="Cambria Math" w:eastAsiaTheme="minorEastAsia"/>
                  <w:szCs w:val="21"/>
                </w:rPr>
                <m:t>u</m:t>
              </m:r>
              <m:ctrlPr>
                <w:rPr>
                  <w:rFonts w:ascii="Cambria Math" w:hAnsi="Cambria Math" w:cs="Cambria Math" w:eastAsiaTheme="minorEastAsia"/>
                  <w:i/>
                  <w:szCs w:val="21"/>
                </w:rPr>
              </m:ctrlPr>
            </m:sup>
            <m:e>
              <m:sSub>
                <m:sSubPr>
                  <m:ctrlPr>
                    <w:rPr>
                      <w:rFonts w:ascii="Cambria Math" w:hAnsi="Cambria Math" w:cs="Times New Roman"/>
                      <w:i/>
                      <w:iCs/>
                      <w:szCs w:val="21"/>
                    </w:rPr>
                  </m:ctrlPr>
                </m:sSubPr>
                <m:e>
                  <m:sSub>
                    <m:sSubPr>
                      <m:ctrlPr>
                        <w:rPr>
                          <w:rFonts w:ascii="Cambria Math" w:hAnsi="Cambria Math" w:cs="Times New Roman"/>
                          <w:i/>
                          <w:iCs/>
                          <w:szCs w:val="21"/>
                        </w:rPr>
                      </m:ctrlPr>
                    </m:sSubPr>
                    <m:e>
                      <m:r>
                        <m:rPr/>
                        <w:rPr>
                          <w:rFonts w:hint="default" w:ascii="Cambria Math" w:hAnsi="Cambria Math" w:cs="Cambria Math"/>
                          <w:szCs w:val="21"/>
                          <w:lang w:val="en-US" w:eastAsia="zh-CN"/>
                        </w:rPr>
                        <m:t>β</m:t>
                      </m:r>
                      <m:ctrlPr>
                        <w:rPr>
                          <w:rFonts w:ascii="Cambria Math" w:hAnsi="Cambria Math" w:cs="Times New Roman"/>
                          <w:i/>
                          <w:iCs/>
                          <w:szCs w:val="21"/>
                        </w:rPr>
                      </m:ctrlPr>
                    </m:e>
                    <m:sub>
                      <m:r>
                        <m:rPr/>
                        <w:rPr>
                          <w:rFonts w:hint="default" w:ascii="Cambria Math" w:hAnsi="Cambria Math" w:cs="Times New Roman"/>
                          <w:szCs w:val="21"/>
                          <w:lang w:val="en-US" w:eastAsia="zh-CN"/>
                        </w:rPr>
                        <m:t>t</m:t>
                      </m:r>
                      <m:ctrlPr>
                        <w:rPr>
                          <w:rFonts w:ascii="Cambria Math" w:hAnsi="Cambria Math" w:cs="Times New Roman"/>
                          <w:i/>
                          <w:iCs/>
                          <w:szCs w:val="21"/>
                        </w:rPr>
                      </m:ctrlPr>
                    </m:sub>
                  </m:sSub>
                  <m:r>
                    <m:rPr/>
                    <w:rPr>
                      <w:rFonts w:ascii="Cambria Math" w:hAnsi="Cambria Math" w:cs="Cambria Math"/>
                      <w:szCs w:val="21"/>
                    </w:rPr>
                    <m:t>∗</m:t>
                  </m:r>
                  <m:r>
                    <m:rPr/>
                    <w:rPr>
                      <w:rFonts w:ascii="Cambria Math" w:hAnsi="Cambria Math" w:cs="Times New Roman"/>
                      <w:szCs w:val="21"/>
                    </w:rPr>
                    <m:t>P</m:t>
                  </m:r>
                  <m:ctrlPr>
                    <w:rPr>
                      <w:rFonts w:ascii="Cambria Math" w:hAnsi="Cambria Math" w:cs="Times New Roman"/>
                      <w:i/>
                      <w:iCs/>
                      <w:szCs w:val="21"/>
                    </w:rPr>
                  </m:ctrlPr>
                </m:e>
                <m:sub>
                  <m:r>
                    <m:rPr/>
                    <w:rPr>
                      <w:rFonts w:ascii="Cambria Math" w:hAnsi="Cambria Math" w:cs="Times New Roman"/>
                      <w:szCs w:val="21"/>
                    </w:rPr>
                    <m:t>CI</m:t>
                  </m:r>
                  <m:r>
                    <m:rPr/>
                    <w:rPr>
                      <w:rFonts w:hint="default" w:ascii="Cambria Math" w:hAnsi="Cambria Math" w:cs="Times New Roman"/>
                      <w:szCs w:val="21"/>
                      <w:lang w:val="en-US" w:eastAsia="zh-CN"/>
                    </w:rPr>
                    <m:t>t</m:t>
                  </m:r>
                  <m:ctrlPr>
                    <w:rPr>
                      <w:rFonts w:ascii="Cambria Math" w:hAnsi="Cambria Math" w:cs="Times New Roman"/>
                      <w:i/>
                      <w:iCs/>
                      <w:szCs w:val="21"/>
                    </w:rPr>
                  </m:ctrlPr>
                </m:sub>
              </m:sSub>
              <m:ctrlPr>
                <w:rPr>
                  <w:rFonts w:ascii="Cambria Math" w:hAnsi="Cambria Math" w:cs="Cambria Math" w:eastAsiaTheme="minorEastAsia"/>
                  <w:i/>
                  <w:szCs w:val="21"/>
                </w:rPr>
              </m:ctrlPr>
            </m:e>
          </m:nary>
        </m:oMath>
      </m:oMathPara>
    </w:p>
    <w:p w14:paraId="4755EED4">
      <w:pPr>
        <w:adjustRightInd/>
        <w:snapToGrid/>
        <w:spacing w:before="0" w:beforeLines="0"/>
        <w:ind w:firstLine="420"/>
        <w:rPr>
          <w:rFonts w:ascii="Times New Roman" w:hAnsi="Times New Roman" w:cs="Times New Roman" w:eastAsiaTheme="minorEastAsia"/>
          <w:szCs w:val="21"/>
        </w:rPr>
      </w:pPr>
    </w:p>
    <w:p w14:paraId="6E00F716">
      <w:pPr>
        <w:adjustRightInd/>
        <w:snapToGrid/>
        <w:spacing w:before="0" w:beforeLines="0"/>
        <w:ind w:firstLine="420"/>
        <w:rPr>
          <w:rFonts w:ascii="Times New Roman" w:hAnsi="Times New Roman" w:cs="Times New Roman" w:eastAsiaTheme="minorEastAsia"/>
          <w:szCs w:val="21"/>
        </w:rPr>
      </w:pPr>
      <w:r>
        <w:rPr>
          <w:rFonts w:hint="eastAsia" w:ascii="Times New Roman" w:hAnsi="Times New Roman" w:cs="Times New Roman" w:eastAsiaTheme="minorEastAsia"/>
          <w:szCs w:val="21"/>
        </w:rPr>
        <w:t>式中：</w:t>
      </w:r>
    </w:p>
    <w:p w14:paraId="47B649D8">
      <w:pPr>
        <w:adjustRightInd/>
        <w:snapToGrid/>
        <w:spacing w:before="0" w:beforeLines="0"/>
        <w:ind w:firstLine="420"/>
        <w:rPr>
          <w:rFonts w:ascii="Times New Roman" w:hAnsi="Times New Roman" w:cs="Times New Roman" w:eastAsiaTheme="minorEastAsia"/>
          <w:szCs w:val="21"/>
        </w:rPr>
      </w:pPr>
      <w:r>
        <w:rPr>
          <w:rFonts w:hint="eastAsia" w:ascii="Times New Roman" w:hAnsi="Times New Roman" w:cs="Times New Roman" w:eastAsiaTheme="minorEastAsia"/>
          <w:i/>
          <w:iCs/>
          <w:szCs w:val="21"/>
        </w:rPr>
        <w:t>∆EQI</w:t>
      </w:r>
      <w:r>
        <w:rPr>
          <w:rFonts w:hint="eastAsia" w:ascii="Times New Roman" w:hAnsi="Times New Roman" w:cs="Times New Roman" w:eastAsiaTheme="minorEastAsia"/>
          <w:szCs w:val="21"/>
        </w:rPr>
        <w:t>：生态效果</w:t>
      </w:r>
      <w:r>
        <w:rPr>
          <w:rFonts w:hint="eastAsia" w:ascii="Times New Roman" w:hAnsi="Times New Roman" w:cs="Times New Roman"/>
          <w:szCs w:val="21"/>
        </w:rPr>
        <w:t>提升率</w:t>
      </w:r>
      <w:r>
        <w:rPr>
          <w:rFonts w:hint="eastAsia" w:ascii="Times New Roman" w:hAnsi="Times New Roman" w:cs="Times New Roman" w:eastAsiaTheme="minorEastAsia"/>
          <w:szCs w:val="21"/>
        </w:rPr>
        <w:t>，反映区域生态质量动态变化的综合评价值；</w:t>
      </w:r>
    </w:p>
    <w:p w14:paraId="37F67120">
      <w:pPr>
        <w:adjustRightInd/>
        <w:snapToGrid/>
        <w:spacing w:before="0" w:beforeLines="0"/>
        <w:ind w:firstLine="420"/>
        <w:rPr>
          <w:rFonts w:ascii="Times New Roman" w:hAnsi="Times New Roman" w:cs="Times New Roman" w:eastAsiaTheme="minorEastAsia"/>
          <w:szCs w:val="21"/>
        </w:rPr>
      </w:pPr>
      <m:oMath>
        <m:sSub>
          <m:sSubPr>
            <m:ctrlPr>
              <w:rPr>
                <w:rFonts w:ascii="Cambria Math" w:hAnsi="Cambria Math" w:cs="Times New Roman"/>
                <w:i/>
                <w:iCs/>
                <w:szCs w:val="21"/>
              </w:rPr>
            </m:ctrlPr>
          </m:sSubPr>
          <m:e>
            <m:r>
              <m:rPr/>
              <w:rPr>
                <w:rFonts w:ascii="Cambria Math" w:hAnsi="Cambria Math" w:cs="Times New Roman"/>
                <w:szCs w:val="21"/>
              </w:rPr>
              <m:t>P</m:t>
            </m:r>
            <m:ctrlPr>
              <w:rPr>
                <w:rFonts w:ascii="Cambria Math" w:hAnsi="Cambria Math" w:cs="Times New Roman"/>
                <w:i/>
                <w:iCs/>
                <w:szCs w:val="21"/>
              </w:rPr>
            </m:ctrlPr>
          </m:e>
          <m:sub>
            <m:r>
              <m:rPr/>
              <w:rPr>
                <w:rFonts w:ascii="Cambria Math" w:hAnsi="Cambria Math" w:cs="Times New Roman"/>
                <w:szCs w:val="21"/>
              </w:rPr>
              <m:t>CIl</m:t>
            </m:r>
            <m:ctrlPr>
              <w:rPr>
                <w:rFonts w:ascii="Cambria Math" w:hAnsi="Cambria Math" w:cs="Times New Roman"/>
                <w:i/>
                <w:iCs/>
                <w:szCs w:val="21"/>
              </w:rPr>
            </m:ctrlPr>
          </m:sub>
        </m:sSub>
      </m:oMath>
      <w:r>
        <w:rPr>
          <w:rFonts w:hint="eastAsia" w:ascii="Times New Roman" w:hAnsi="Times New Roman" w:cs="Times New Roman" w:eastAsiaTheme="minorEastAsia"/>
          <w:szCs w:val="21"/>
        </w:rPr>
        <w:t>：第</w:t>
      </w:r>
      <w:r>
        <w:rPr>
          <w:rFonts w:hint="eastAsia" w:ascii="Times New Roman" w:hAnsi="Times New Roman" w:cs="Times New Roman" w:eastAsiaTheme="minorEastAsia"/>
          <w:i/>
          <w:iCs/>
          <w:szCs w:val="21"/>
        </w:rPr>
        <w:t>l</w:t>
      </w:r>
      <w:r>
        <w:rPr>
          <w:rFonts w:hint="eastAsia" w:ascii="Times New Roman" w:hAnsi="Times New Roman" w:cs="Times New Roman" w:eastAsiaTheme="minorEastAsia"/>
          <w:szCs w:val="21"/>
        </w:rPr>
        <w:t>项生态系统服务指标</w:t>
      </w:r>
      <w:r>
        <w:rPr>
          <w:rFonts w:ascii="Times New Roman" w:hAnsi="Times New Roman" w:cs="Times New Roman"/>
          <w:szCs w:val="21"/>
        </w:rPr>
        <w:t>变化率</w:t>
      </w:r>
      <w:r>
        <w:rPr>
          <w:rFonts w:hint="eastAsia" w:ascii="Times New Roman" w:hAnsi="Times New Roman" w:cs="Times New Roman" w:eastAsiaTheme="minorEastAsia"/>
          <w:szCs w:val="21"/>
        </w:rPr>
        <w:t>；</w:t>
      </w:r>
    </w:p>
    <w:p w14:paraId="3182D806">
      <w:pPr>
        <w:adjustRightInd/>
        <w:snapToGrid/>
        <w:spacing w:before="0" w:beforeLines="0"/>
        <w:ind w:firstLine="420"/>
        <w:rPr>
          <w:rFonts w:ascii="Times New Roman" w:hAnsi="Times New Roman" w:cs="Times New Roman" w:eastAsiaTheme="minorEastAsia"/>
          <w:szCs w:val="21"/>
        </w:rPr>
      </w:pPr>
      <m:oMath>
        <m:sSub>
          <m:sSubPr>
            <m:ctrlPr>
              <w:rPr>
                <w:rFonts w:ascii="Cambria Math" w:hAnsi="Cambria Math" w:cs="Times New Roman"/>
                <w:i/>
                <w:iCs/>
                <w:szCs w:val="21"/>
              </w:rPr>
            </m:ctrlPr>
          </m:sSubPr>
          <m:e>
            <m:r>
              <m:rPr/>
              <w:rPr>
                <w:rFonts w:ascii="Cambria Math" w:hAnsi="Cambria Math" w:cs="Times New Roman"/>
                <w:szCs w:val="21"/>
              </w:rPr>
              <m:t>P</m:t>
            </m:r>
            <m:ctrlPr>
              <w:rPr>
                <w:rFonts w:ascii="Cambria Math" w:hAnsi="Cambria Math" w:cs="Times New Roman"/>
                <w:i/>
                <w:iCs/>
                <w:szCs w:val="21"/>
              </w:rPr>
            </m:ctrlPr>
          </m:e>
          <m:sub>
            <m:r>
              <m:rPr/>
              <w:rPr>
                <w:rFonts w:ascii="Cambria Math" w:hAnsi="Cambria Math" w:cs="Times New Roman"/>
                <w:szCs w:val="21"/>
              </w:rPr>
              <m:t>CIt</m:t>
            </m:r>
            <m:ctrlPr>
              <w:rPr>
                <w:rFonts w:ascii="Cambria Math" w:hAnsi="Cambria Math" w:cs="Times New Roman"/>
                <w:i/>
                <w:iCs/>
                <w:szCs w:val="21"/>
              </w:rPr>
            </m:ctrlPr>
          </m:sub>
        </m:sSub>
      </m:oMath>
      <w:r>
        <w:rPr>
          <w:rFonts w:hint="eastAsia" w:ascii="Times New Roman" w:hAnsi="Times New Roman" w:cs="Times New Roman" w:eastAsiaTheme="minorEastAsia"/>
          <w:szCs w:val="21"/>
        </w:rPr>
        <w:t>：第</w:t>
      </w:r>
      <w:r>
        <w:rPr>
          <w:rFonts w:hint="eastAsia" w:ascii="Times New Roman" w:hAnsi="Times New Roman" w:cs="Times New Roman" w:eastAsiaTheme="minorEastAsia"/>
          <w:i/>
          <w:iCs/>
          <w:szCs w:val="21"/>
        </w:rPr>
        <w:t>t</w:t>
      </w:r>
      <w:r>
        <w:rPr>
          <w:rFonts w:hint="eastAsia" w:ascii="Times New Roman" w:hAnsi="Times New Roman" w:cs="Times New Roman" w:eastAsiaTheme="minorEastAsia"/>
          <w:szCs w:val="21"/>
        </w:rPr>
        <w:t>项景观格局指标</w:t>
      </w:r>
      <w:r>
        <w:rPr>
          <w:rFonts w:ascii="Times New Roman" w:hAnsi="Times New Roman" w:cs="Times New Roman"/>
          <w:szCs w:val="21"/>
        </w:rPr>
        <w:t>变化率</w:t>
      </w:r>
      <w:r>
        <w:rPr>
          <w:rFonts w:hint="eastAsia" w:ascii="Times New Roman" w:hAnsi="Times New Roman" w:cs="Times New Roman" w:eastAsiaTheme="minorEastAsia"/>
          <w:szCs w:val="21"/>
        </w:rPr>
        <w:t>；</w:t>
      </w:r>
    </w:p>
    <w:p w14:paraId="315847FC">
      <w:pPr>
        <w:adjustRightInd/>
        <w:snapToGrid/>
        <w:spacing w:before="0" w:beforeLines="0"/>
        <w:ind w:firstLine="420"/>
        <w:rPr>
          <w:rFonts w:ascii="Times New Roman" w:hAnsi="Times New Roman" w:cs="Times New Roman" w:eastAsiaTheme="minorEastAsia"/>
          <w:szCs w:val="21"/>
        </w:rPr>
      </w:pPr>
      <w:r>
        <w:rPr>
          <w:rFonts w:hint="eastAsia" w:ascii="Times New Roman" w:hAnsi="Times New Roman" w:cs="Times New Roman" w:eastAsiaTheme="minorEastAsia"/>
          <w:i/>
          <w:iCs/>
          <w:szCs w:val="21"/>
          <w:lang w:val="en-US" w:eastAsia="zh-CN"/>
        </w:rPr>
        <w:t>x.</w:t>
      </w:r>
      <w:r>
        <w:rPr>
          <w:rFonts w:hint="eastAsia" w:ascii="Times New Roman" w:hAnsi="Times New Roman" w:cs="Times New Roman" w:eastAsiaTheme="minorEastAsia"/>
          <w:szCs w:val="21"/>
        </w:rPr>
        <w:t>生态系统服务类指标总数；</w:t>
      </w:r>
    </w:p>
    <w:p w14:paraId="379ACB12">
      <w:pPr>
        <w:adjustRightInd/>
        <w:snapToGrid/>
        <w:spacing w:before="0" w:beforeLines="0"/>
        <w:ind w:firstLine="420"/>
        <w:rPr>
          <w:rFonts w:ascii="Times New Roman" w:hAnsi="Times New Roman" w:cs="Times New Roman" w:eastAsiaTheme="minorEastAsia"/>
          <w:szCs w:val="21"/>
        </w:rPr>
      </w:pPr>
      <w:r>
        <w:rPr>
          <w:rFonts w:hint="eastAsia" w:ascii="Times New Roman" w:hAnsi="Times New Roman" w:cs="Times New Roman" w:eastAsiaTheme="minorEastAsia"/>
          <w:i/>
          <w:iCs/>
          <w:szCs w:val="21"/>
          <w:lang w:eastAsia="zh-CN"/>
        </w:rPr>
        <w:t>u.</w:t>
      </w:r>
      <w:r>
        <w:rPr>
          <w:rFonts w:hint="eastAsia" w:ascii="Times New Roman" w:hAnsi="Times New Roman" w:cs="Times New Roman" w:eastAsiaTheme="minorEastAsia"/>
          <w:szCs w:val="21"/>
        </w:rPr>
        <w:t>景观格局类指标总数；</w:t>
      </w:r>
    </w:p>
    <w:p w14:paraId="39450A71">
      <w:pPr>
        <w:adjustRightInd/>
        <w:snapToGrid/>
        <w:spacing w:before="0" w:beforeLines="0"/>
        <w:ind w:firstLine="420"/>
        <w:rPr>
          <w:rFonts w:hint="eastAsia" w:ascii="Times New Roman" w:hAnsi="Times New Roman" w:cs="Times New Roman" w:eastAsiaTheme="minorEastAsia"/>
          <w:szCs w:val="21"/>
          <w:lang w:eastAsia="zh-CN"/>
        </w:rPr>
      </w:pPr>
      <w:r>
        <w:rPr>
          <w:rFonts w:ascii="Times New Roman" w:hAnsi="Times New Roman" w:cs="Times New Roman" w:eastAsiaTheme="minorEastAsia"/>
          <w:i/>
          <w:iCs/>
          <w:szCs w:val="21"/>
        </w:rPr>
        <w:t>α</w:t>
      </w:r>
      <w:r>
        <w:rPr>
          <w:rFonts w:ascii="Times New Roman" w:hAnsi="Times New Roman" w:cs="Times New Roman" w:eastAsiaTheme="minorEastAsia"/>
          <w:szCs w:val="21"/>
        </w:rPr>
        <w:t>、</w:t>
      </w:r>
      <w:r>
        <w:rPr>
          <w:rFonts w:ascii="Times New Roman" w:hAnsi="Times New Roman" w:cs="Times New Roman" w:eastAsiaTheme="minorEastAsia"/>
          <w:i/>
          <w:iCs/>
          <w:szCs w:val="21"/>
        </w:rPr>
        <w:t>β</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生态系统服务、景观格局类</w:t>
      </w:r>
      <w:r>
        <w:rPr>
          <w:rFonts w:ascii="Times New Roman" w:hAnsi="Times New Roman" w:cs="Times New Roman" w:eastAsiaTheme="minorEastAsia"/>
          <w:szCs w:val="21"/>
        </w:rPr>
        <w:t>权重系数</w:t>
      </w:r>
      <w:r>
        <w:rPr>
          <w:rFonts w:hint="eastAsia" w:ascii="Times New Roman" w:hAnsi="Times New Roman" w:cs="Times New Roman" w:eastAsiaTheme="minorEastAsia"/>
          <w:szCs w:val="21"/>
          <w:lang w:eastAsia="zh-CN"/>
        </w:rPr>
        <w:t>。</w:t>
      </w:r>
    </w:p>
    <w:p w14:paraId="30137BB5">
      <w:pPr>
        <w:pStyle w:val="64"/>
        <w:spacing w:before="312" w:beforeLines="100" w:after="156" w:afterLines="50"/>
        <w:outlineLvl w:val="2"/>
        <w:rPr>
          <w:rFonts w:hint="eastAsia" w:ascii="黑体" w:hAnsi="黑体" w:eastAsia="黑体" w:cs="黑体"/>
        </w:rPr>
      </w:pPr>
      <w:r>
        <w:rPr>
          <w:rFonts w:hint="eastAsia" w:ascii="黑体" w:hAnsi="黑体" w:eastAsia="黑体" w:cs="黑体"/>
        </w:rPr>
        <w:t>经济社会效果改善度</w:t>
      </w:r>
    </w:p>
    <w:p w14:paraId="3E4E10B2">
      <w:pPr>
        <w:adjustRightInd/>
        <w:snapToGrid/>
        <w:spacing w:before="0" w:beforeLines="0"/>
        <w:ind w:firstLine="420"/>
        <w:rPr>
          <w:rFonts w:hint="eastAsia"/>
          <w:szCs w:val="21"/>
        </w:rPr>
      </w:pPr>
      <m:oMathPara>
        <m:oMath>
          <m:r>
            <m:rPr/>
            <w:rPr>
              <w:rFonts w:ascii="Cambria Math" w:hAnsi="Cambria Math" w:cs="Times New Roman"/>
              <w:szCs w:val="21"/>
            </w:rPr>
            <m:t>∆ESI=</m:t>
          </m:r>
          <m:nary>
            <m:naryPr>
              <m:chr m:val="∑"/>
              <m:limLoc m:val="undOvr"/>
              <m:ctrlPr>
                <w:rPr>
                  <w:rFonts w:ascii="Cambria Math" w:hAnsi="Cambria Math" w:cs="Cambria Math" w:eastAsiaTheme="minorEastAsia"/>
                  <w:i/>
                  <w:szCs w:val="21"/>
                </w:rPr>
              </m:ctrlPr>
            </m:naryPr>
            <m:sub>
              <m:r>
                <m:rPr/>
                <w:rPr>
                  <w:rFonts w:ascii="Cambria Math" w:hAnsi="Cambria Math" w:cs="Cambria Math" w:eastAsiaTheme="minorEastAsia"/>
                  <w:szCs w:val="21"/>
                </w:rPr>
                <m:t>1</m:t>
              </m:r>
              <m:ctrlPr>
                <w:rPr>
                  <w:rFonts w:ascii="Cambria Math" w:hAnsi="Cambria Math" w:cs="Cambria Math" w:eastAsiaTheme="minorEastAsia"/>
                  <w:i/>
                  <w:szCs w:val="21"/>
                </w:rPr>
              </m:ctrlPr>
            </m:sub>
            <m:sup>
              <m:r>
                <m:rPr/>
                <w:rPr>
                  <w:rFonts w:ascii="Cambria Math" w:hAnsi="Cambria Math" w:cs="Cambria Math" w:eastAsiaTheme="minorEastAsia"/>
                  <w:szCs w:val="21"/>
                </w:rPr>
                <m:t>w</m:t>
              </m:r>
              <m:ctrlPr>
                <w:rPr>
                  <w:rFonts w:ascii="Cambria Math" w:hAnsi="Cambria Math" w:cs="Cambria Math" w:eastAsiaTheme="minorEastAsia"/>
                  <w:i/>
                  <w:szCs w:val="21"/>
                </w:rPr>
              </m:ctrlPr>
            </m:sup>
            <m:e>
              <m:sSub>
                <m:sSubPr>
                  <m:ctrlPr>
                    <w:rPr>
                      <w:rFonts w:ascii="Cambria Math" w:hAnsi="Cambria Math" w:cs="Times New Roman"/>
                      <w:i/>
                      <w:iCs/>
                      <w:szCs w:val="21"/>
                    </w:rPr>
                  </m:ctrlPr>
                </m:sSubPr>
                <m:e>
                  <m:sSub>
                    <m:sSubPr>
                      <m:ctrlPr>
                        <w:rPr>
                          <w:rFonts w:ascii="Cambria Math" w:hAnsi="Cambria Math" w:cs="Times New Roman"/>
                          <w:i/>
                          <w:iCs/>
                          <w:szCs w:val="21"/>
                        </w:rPr>
                      </m:ctrlPr>
                    </m:sSubPr>
                    <m:e>
                      <m:r>
                        <m:rPr/>
                        <w:rPr>
                          <w:rFonts w:ascii="Cambria Math" w:hAnsi="Cambria Math" w:cs="Cambria Math"/>
                          <w:szCs w:val="21"/>
                        </w:rPr>
                        <m:t>α</m:t>
                      </m:r>
                      <m:ctrlPr>
                        <w:rPr>
                          <w:rFonts w:ascii="Cambria Math" w:hAnsi="Cambria Math" w:cs="Times New Roman"/>
                          <w:i/>
                          <w:iCs/>
                          <w:szCs w:val="21"/>
                        </w:rPr>
                      </m:ctrlPr>
                    </m:e>
                    <m:sub>
                      <m:r>
                        <m:rPr/>
                        <w:rPr>
                          <w:rFonts w:ascii="Cambria Math" w:hAnsi="Cambria Math" w:cs="Times New Roman"/>
                          <w:szCs w:val="21"/>
                        </w:rPr>
                        <m:t>s</m:t>
                      </m:r>
                      <m:ctrlPr>
                        <w:rPr>
                          <w:rFonts w:ascii="Cambria Math" w:hAnsi="Cambria Math" w:cs="Times New Roman"/>
                          <w:i/>
                          <w:iCs/>
                          <w:szCs w:val="21"/>
                        </w:rPr>
                      </m:ctrlPr>
                    </m:sub>
                  </m:sSub>
                  <m:r>
                    <m:rPr/>
                    <w:rPr>
                      <w:rFonts w:ascii="Cambria Math" w:hAnsi="Cambria Math" w:cs="Cambria Math"/>
                      <w:szCs w:val="21"/>
                    </w:rPr>
                    <m:t>∗(</m:t>
                  </m:r>
                  <m:r>
                    <m:rPr/>
                    <w:rPr>
                      <w:rFonts w:ascii="Cambria Math" w:hAnsi="Cambria Math" w:cs="Times New Roman"/>
                      <w:szCs w:val="21"/>
                    </w:rPr>
                    <m:t>P</m:t>
                  </m:r>
                  <m:ctrlPr>
                    <w:rPr>
                      <w:rFonts w:ascii="Cambria Math" w:hAnsi="Cambria Math" w:cs="Times New Roman"/>
                      <w:i/>
                      <w:iCs/>
                      <w:szCs w:val="21"/>
                    </w:rPr>
                  </m:ctrlPr>
                </m:e>
                <m:sub>
                  <m:r>
                    <m:rPr/>
                    <w:rPr>
                      <w:rFonts w:ascii="Cambria Math" w:hAnsi="Cambria Math" w:cs="Times New Roman"/>
                      <w:szCs w:val="21"/>
                    </w:rPr>
                    <m:t>CRs</m:t>
                  </m:r>
                  <m:ctrlPr>
                    <w:rPr>
                      <w:rFonts w:ascii="Cambria Math" w:hAnsi="Cambria Math" w:cs="Times New Roman"/>
                      <w:i/>
                      <w:iCs/>
                      <w:szCs w:val="21"/>
                    </w:rPr>
                  </m:ctrlPr>
                </m:sub>
              </m:sSub>
              <m:ctrlPr>
                <w:rPr>
                  <w:rFonts w:ascii="Cambria Math" w:hAnsi="Cambria Math" w:cs="Cambria Math" w:eastAsiaTheme="minorEastAsia"/>
                  <w:i/>
                  <w:szCs w:val="21"/>
                </w:rPr>
              </m:ctrlPr>
            </m:e>
          </m:nary>
          <m:r>
            <m:rPr/>
            <w:rPr>
              <w:rFonts w:ascii="Cambria Math" w:hAnsi="Cambria Math" w:cs="Cambria Math" w:eastAsiaTheme="minorEastAsia"/>
              <w:szCs w:val="21"/>
            </w:rPr>
            <m:t>−1)+</m:t>
          </m:r>
          <m:nary>
            <m:naryPr>
              <m:chr m:val="∑"/>
              <m:limLoc m:val="undOvr"/>
              <m:ctrlPr>
                <w:rPr>
                  <w:rFonts w:ascii="Cambria Math" w:hAnsi="Cambria Math" w:cs="Cambria Math" w:eastAsiaTheme="minorEastAsia"/>
                  <w:i/>
                  <w:szCs w:val="21"/>
                </w:rPr>
              </m:ctrlPr>
            </m:naryPr>
            <m:sub>
              <m:r>
                <m:rPr/>
                <w:rPr>
                  <w:rFonts w:ascii="Cambria Math" w:hAnsi="Cambria Math" w:cs="Cambria Math" w:eastAsiaTheme="minorEastAsia"/>
                  <w:szCs w:val="21"/>
                </w:rPr>
                <m:t>1</m:t>
              </m:r>
              <m:ctrlPr>
                <w:rPr>
                  <w:rFonts w:ascii="Cambria Math" w:hAnsi="Cambria Math" w:cs="Cambria Math" w:eastAsiaTheme="minorEastAsia"/>
                  <w:i/>
                  <w:szCs w:val="21"/>
                </w:rPr>
              </m:ctrlPr>
            </m:sub>
            <m:sup>
              <m:r>
                <m:rPr/>
                <w:rPr>
                  <w:rFonts w:ascii="Cambria Math" w:hAnsi="Cambria Math" w:cs="Cambria Math" w:eastAsiaTheme="minorEastAsia"/>
                  <w:szCs w:val="21"/>
                </w:rPr>
                <m:t>z</m:t>
              </m:r>
              <m:ctrlPr>
                <w:rPr>
                  <w:rFonts w:ascii="Cambria Math" w:hAnsi="Cambria Math" w:cs="Cambria Math" w:eastAsiaTheme="minorEastAsia"/>
                  <w:i/>
                  <w:szCs w:val="21"/>
                </w:rPr>
              </m:ctrlPr>
            </m:sup>
            <m:e>
              <m:sSub>
                <m:sSubPr>
                  <m:ctrlPr>
                    <w:rPr>
                      <w:rFonts w:ascii="Cambria Math" w:hAnsi="Cambria Math" w:cs="Times New Roman"/>
                      <w:i/>
                      <w:iCs/>
                      <w:szCs w:val="21"/>
                    </w:rPr>
                  </m:ctrlPr>
                </m:sSubPr>
                <m:e>
                  <m:sSub>
                    <m:sSubPr>
                      <m:ctrlPr>
                        <w:rPr>
                          <w:rFonts w:ascii="Cambria Math" w:hAnsi="Cambria Math" w:cs="Times New Roman"/>
                          <w:i/>
                          <w:iCs/>
                          <w:szCs w:val="21"/>
                        </w:rPr>
                      </m:ctrlPr>
                    </m:sSubPr>
                    <m:e>
                      <m:r>
                        <m:rPr/>
                        <w:rPr>
                          <w:rFonts w:hint="default" w:ascii="Cambria Math" w:hAnsi="Cambria Math" w:cs="Cambria Math"/>
                          <w:szCs w:val="21"/>
                          <w:lang w:val="en-US" w:eastAsia="zh-CN"/>
                        </w:rPr>
                        <m:t>β</m:t>
                      </m:r>
                      <m:ctrlPr>
                        <w:rPr>
                          <w:rFonts w:ascii="Cambria Math" w:hAnsi="Cambria Math" w:cs="Times New Roman"/>
                          <w:i/>
                          <w:iCs/>
                          <w:szCs w:val="21"/>
                        </w:rPr>
                      </m:ctrlPr>
                    </m:e>
                    <m:sub>
                      <m:r>
                        <m:rPr/>
                        <w:rPr>
                          <w:rFonts w:ascii="Cambria Math" w:hAnsi="Cambria Math" w:cs="Times New Roman"/>
                          <w:szCs w:val="21"/>
                        </w:rPr>
                        <m:t>c</m:t>
                      </m:r>
                      <m:ctrlPr>
                        <w:rPr>
                          <w:rFonts w:ascii="Cambria Math" w:hAnsi="Cambria Math" w:cs="Times New Roman"/>
                          <w:i/>
                          <w:iCs/>
                          <w:szCs w:val="21"/>
                        </w:rPr>
                      </m:ctrlPr>
                    </m:sub>
                  </m:sSub>
                  <m:r>
                    <m:rPr/>
                    <w:rPr>
                      <w:rFonts w:ascii="Cambria Math" w:hAnsi="Cambria Math" w:cs="Cambria Math"/>
                      <w:szCs w:val="21"/>
                    </w:rPr>
                    <m:t>∗(</m:t>
                  </m:r>
                  <m:r>
                    <m:rPr/>
                    <w:rPr>
                      <w:rFonts w:ascii="Cambria Math" w:hAnsi="Cambria Math" w:cs="Times New Roman"/>
                      <w:szCs w:val="21"/>
                    </w:rPr>
                    <m:t>P</m:t>
                  </m:r>
                  <m:ctrlPr>
                    <w:rPr>
                      <w:rFonts w:ascii="Cambria Math" w:hAnsi="Cambria Math" w:cs="Times New Roman"/>
                      <w:i/>
                      <w:iCs/>
                      <w:szCs w:val="21"/>
                    </w:rPr>
                  </m:ctrlPr>
                </m:e>
                <m:sub>
                  <m:r>
                    <m:rPr/>
                    <w:rPr>
                      <w:rFonts w:ascii="Cambria Math" w:hAnsi="Cambria Math" w:cs="Times New Roman"/>
                      <w:szCs w:val="21"/>
                    </w:rPr>
                    <m:t>CRc</m:t>
                  </m:r>
                  <m:ctrlPr>
                    <w:rPr>
                      <w:rFonts w:ascii="Cambria Math" w:hAnsi="Cambria Math" w:cs="Times New Roman"/>
                      <w:i/>
                      <w:iCs/>
                      <w:szCs w:val="21"/>
                    </w:rPr>
                  </m:ctrlPr>
                </m:sub>
              </m:sSub>
              <m:ctrlPr>
                <w:rPr>
                  <w:rFonts w:ascii="Cambria Math" w:hAnsi="Cambria Math" w:cs="Cambria Math" w:eastAsiaTheme="minorEastAsia"/>
                  <w:i/>
                  <w:szCs w:val="21"/>
                </w:rPr>
              </m:ctrlPr>
            </m:e>
          </m:nary>
          <m:r>
            <m:rPr/>
            <w:rPr>
              <w:rFonts w:ascii="Cambria Math" w:hAnsi="Cambria Math" w:cs="Cambria Math" w:eastAsiaTheme="minorEastAsia"/>
              <w:szCs w:val="21"/>
            </w:rPr>
            <m:t>−1)</m:t>
          </m:r>
        </m:oMath>
      </m:oMathPara>
    </w:p>
    <w:p w14:paraId="242A49A4">
      <w:pPr>
        <w:adjustRightInd/>
        <w:snapToGrid/>
        <w:spacing w:before="0" w:beforeLines="0"/>
        <w:ind w:firstLine="420"/>
        <w:rPr>
          <w:rFonts w:hint="eastAsia"/>
          <w:szCs w:val="21"/>
        </w:rPr>
      </w:pPr>
      <w:r>
        <w:rPr>
          <w:rFonts w:hint="eastAsia"/>
          <w:szCs w:val="21"/>
        </w:rPr>
        <w:t>式中：</w:t>
      </w:r>
    </w:p>
    <w:p w14:paraId="61863A50">
      <w:pPr>
        <w:adjustRightInd/>
        <w:snapToGrid/>
        <w:spacing w:before="0" w:beforeLines="0"/>
        <w:ind w:firstLine="420"/>
        <w:rPr>
          <w:rFonts w:hint="eastAsia"/>
          <w:szCs w:val="21"/>
        </w:rPr>
      </w:pPr>
      <m:oMath>
        <m:r>
          <m:rPr/>
          <w:rPr>
            <w:rFonts w:ascii="Cambria Math" w:hAnsi="Cambria Math" w:cs="Times New Roman"/>
            <w:szCs w:val="21"/>
          </w:rPr>
          <m:t>∆ESI</m:t>
        </m:r>
      </m:oMath>
      <w:r>
        <w:rPr>
          <w:rFonts w:hint="eastAsia"/>
          <w:szCs w:val="21"/>
        </w:rPr>
        <w:t>：</w:t>
      </w:r>
      <w:r>
        <w:rPr>
          <w:rFonts w:hint="eastAsia" w:ascii="Times New Roman" w:hAnsi="Times New Roman" w:cs="Times New Roman" w:eastAsiaTheme="minorEastAsia"/>
          <w:szCs w:val="21"/>
        </w:rPr>
        <w:t>经济社会效果改善度，反映区域</w:t>
      </w:r>
      <w:r>
        <w:rPr>
          <w:rFonts w:hint="eastAsia"/>
          <w:szCs w:val="21"/>
        </w:rPr>
        <w:t>经济社会综合</w:t>
      </w:r>
      <w:r>
        <w:rPr>
          <w:rFonts w:hint="eastAsia"/>
          <w:szCs w:val="21"/>
          <w:lang w:val="en-US" w:eastAsia="zh-CN"/>
        </w:rPr>
        <w:t>效果</w:t>
      </w:r>
      <w:r>
        <w:rPr>
          <w:rFonts w:hint="eastAsia"/>
          <w:szCs w:val="21"/>
        </w:rPr>
        <w:t>变化</w:t>
      </w:r>
      <w:r>
        <w:rPr>
          <w:rFonts w:hint="eastAsia" w:ascii="Times New Roman" w:hAnsi="Times New Roman" w:cs="Times New Roman" w:eastAsiaTheme="minorEastAsia"/>
          <w:szCs w:val="21"/>
        </w:rPr>
        <w:t>；</w:t>
      </w:r>
    </w:p>
    <w:p w14:paraId="3D4E40C2">
      <w:pPr>
        <w:adjustRightInd/>
        <w:snapToGrid/>
        <w:spacing w:before="0" w:beforeLines="0"/>
        <w:ind w:firstLine="420"/>
        <w:rPr>
          <w:rFonts w:hint="eastAsia"/>
          <w:szCs w:val="21"/>
        </w:rPr>
      </w:pPr>
      <m:oMath>
        <m:sSub>
          <m:sSubPr>
            <m:ctrlPr>
              <w:rPr>
                <w:rFonts w:ascii="Cambria Math" w:hAnsi="Cambria Math" w:cs="Times New Roman"/>
                <w:i/>
                <w:iCs/>
                <w:szCs w:val="21"/>
              </w:rPr>
            </m:ctrlPr>
          </m:sSubPr>
          <m:e>
            <m:r>
              <m:rPr/>
              <w:rPr>
                <w:rFonts w:ascii="Cambria Math" w:hAnsi="Cambria Math" w:cs="Times New Roman"/>
                <w:szCs w:val="21"/>
              </w:rPr>
              <m:t>P</m:t>
            </m:r>
            <m:ctrlPr>
              <w:rPr>
                <w:rFonts w:ascii="Cambria Math" w:hAnsi="Cambria Math" w:cs="Times New Roman"/>
                <w:i/>
                <w:iCs/>
                <w:szCs w:val="21"/>
              </w:rPr>
            </m:ctrlPr>
          </m:e>
          <m:sub>
            <m:r>
              <m:rPr/>
              <w:rPr>
                <w:rFonts w:ascii="Cambria Math" w:hAnsi="Cambria Math" w:cs="Times New Roman"/>
                <w:szCs w:val="21"/>
              </w:rPr>
              <m:t>C</m:t>
            </m:r>
            <m:r>
              <m:rPr/>
              <w:rPr>
                <w:rFonts w:hint="default" w:ascii="Cambria Math" w:hAnsi="Cambria Math" w:cs="Times New Roman"/>
                <w:szCs w:val="21"/>
                <w:lang w:val="en-US" w:eastAsia="zh-CN"/>
              </w:rPr>
              <m:t>R</m:t>
            </m:r>
            <m:r>
              <m:rPr/>
              <w:rPr>
                <w:rFonts w:ascii="Cambria Math" w:hAnsi="Cambria Math" w:cs="Times New Roman"/>
                <w:szCs w:val="21"/>
              </w:rPr>
              <m:t>s</m:t>
            </m:r>
            <m:ctrlPr>
              <w:rPr>
                <w:rFonts w:ascii="Cambria Math" w:hAnsi="Cambria Math" w:cs="Times New Roman"/>
                <w:i/>
                <w:iCs/>
                <w:szCs w:val="21"/>
              </w:rPr>
            </m:ctrlPr>
          </m:sub>
        </m:sSub>
      </m:oMath>
      <w:r>
        <w:rPr>
          <w:rFonts w:hint="eastAsia"/>
          <w:szCs w:val="21"/>
        </w:rPr>
        <w:t>：</w:t>
      </w:r>
      <w:r>
        <w:rPr>
          <w:rFonts w:hint="eastAsia" w:ascii="Times New Roman" w:hAnsi="Times New Roman" w:cs="Times New Roman" w:eastAsiaTheme="minorEastAsia"/>
          <w:szCs w:val="21"/>
        </w:rPr>
        <w:t>第</w:t>
      </w:r>
      <w:r>
        <w:rPr>
          <w:rFonts w:hint="eastAsia" w:ascii="Times New Roman" w:hAnsi="Times New Roman" w:cs="Times New Roman" w:eastAsiaTheme="minorEastAsia"/>
          <w:i/>
          <w:iCs/>
          <w:szCs w:val="21"/>
        </w:rPr>
        <w:t>s</w:t>
      </w:r>
      <w:r>
        <w:rPr>
          <w:rFonts w:hint="eastAsia" w:ascii="Times New Roman" w:hAnsi="Times New Roman" w:cs="Times New Roman" w:eastAsiaTheme="minorEastAsia"/>
          <w:szCs w:val="21"/>
        </w:rPr>
        <w:t>项社会效果指标完成度；</w:t>
      </w:r>
    </w:p>
    <w:p w14:paraId="4B8E58AC">
      <w:pPr>
        <w:adjustRightInd/>
        <w:snapToGrid/>
        <w:spacing w:before="0" w:beforeLines="0"/>
        <w:ind w:firstLine="420"/>
        <w:rPr>
          <w:rFonts w:ascii="Times New Roman" w:hAnsi="Times New Roman" w:cs="Times New Roman" w:eastAsiaTheme="minorEastAsia"/>
          <w:szCs w:val="21"/>
        </w:rPr>
      </w:pPr>
      <m:oMath>
        <m:sSub>
          <m:sSubPr>
            <m:ctrlPr>
              <w:rPr>
                <w:rFonts w:ascii="Cambria Math" w:hAnsi="Cambria Math" w:cs="Cambria Math" w:eastAsiaTheme="minorEastAsia"/>
                <w:i/>
                <w:iCs/>
                <w:szCs w:val="21"/>
              </w:rPr>
            </m:ctrlPr>
          </m:sSubPr>
          <m:e>
            <m:r>
              <m:rPr/>
              <w:rPr>
                <w:rFonts w:ascii="Cambria Math" w:hAnsi="Cambria Math" w:cs="Cambria Math" w:eastAsiaTheme="minorEastAsia"/>
                <w:szCs w:val="21"/>
              </w:rPr>
              <m:t>P</m:t>
            </m:r>
            <m:ctrlPr>
              <w:rPr>
                <w:rFonts w:ascii="Cambria Math" w:hAnsi="Cambria Math" w:cs="Cambria Math" w:eastAsiaTheme="minorEastAsia"/>
                <w:i/>
                <w:iCs/>
                <w:szCs w:val="21"/>
              </w:rPr>
            </m:ctrlPr>
          </m:e>
          <m:sub>
            <m:r>
              <m:rPr/>
              <w:rPr>
                <w:rFonts w:ascii="Cambria Math" w:hAnsi="Cambria Math" w:cs="Cambria Math" w:eastAsiaTheme="minorEastAsia"/>
                <w:szCs w:val="21"/>
              </w:rPr>
              <m:t>CRc</m:t>
            </m:r>
            <m:ctrlPr>
              <w:rPr>
                <w:rFonts w:ascii="Cambria Math" w:hAnsi="Cambria Math" w:cs="Cambria Math" w:eastAsiaTheme="minorEastAsia"/>
                <w:i/>
                <w:iCs/>
                <w:szCs w:val="21"/>
              </w:rPr>
            </m:ctrlPr>
          </m:sub>
        </m:sSub>
      </m:oMath>
      <w:r>
        <w:rPr>
          <w:rFonts w:hint="eastAsia"/>
          <w:szCs w:val="21"/>
        </w:rPr>
        <w:t>：</w:t>
      </w:r>
      <w:r>
        <w:rPr>
          <w:rFonts w:hint="eastAsia" w:ascii="Times New Roman" w:hAnsi="Times New Roman" w:cs="Times New Roman" w:eastAsiaTheme="minorEastAsia"/>
          <w:szCs w:val="21"/>
        </w:rPr>
        <w:t>第</w:t>
      </w:r>
      <w:r>
        <w:rPr>
          <w:rFonts w:hint="eastAsia" w:ascii="Times New Roman" w:hAnsi="Times New Roman" w:cs="Times New Roman" w:eastAsiaTheme="minorEastAsia"/>
          <w:i/>
          <w:iCs/>
          <w:szCs w:val="21"/>
        </w:rPr>
        <w:t>c</w:t>
      </w:r>
      <w:r>
        <w:rPr>
          <w:rFonts w:hint="eastAsia" w:ascii="Times New Roman" w:hAnsi="Times New Roman" w:cs="Times New Roman" w:eastAsiaTheme="minorEastAsia"/>
          <w:szCs w:val="21"/>
        </w:rPr>
        <w:t>项经济效果指标完成度；</w:t>
      </w:r>
    </w:p>
    <w:p w14:paraId="0E238625">
      <w:pPr>
        <w:adjustRightInd/>
        <w:snapToGrid/>
        <w:spacing w:before="0" w:beforeLines="0"/>
        <w:ind w:firstLine="420"/>
        <w:rPr>
          <w:rFonts w:ascii="Times New Roman" w:hAnsi="Times New Roman" w:cs="Times New Roman" w:eastAsiaTheme="minorEastAsia"/>
          <w:szCs w:val="21"/>
        </w:rPr>
      </w:pPr>
      <w:r>
        <w:rPr>
          <w:rFonts w:hint="eastAsia" w:ascii="Times New Roman" w:hAnsi="Times New Roman" w:cs="Times New Roman" w:eastAsiaTheme="minorEastAsia"/>
          <w:i/>
          <w:iCs/>
          <w:szCs w:val="21"/>
          <w:lang w:eastAsia="zh-CN"/>
        </w:rPr>
        <w:t>w.</w:t>
      </w:r>
      <w:r>
        <w:rPr>
          <w:rFonts w:hint="eastAsia" w:ascii="Times New Roman" w:hAnsi="Times New Roman" w:cs="Times New Roman" w:eastAsiaTheme="minorEastAsia"/>
          <w:szCs w:val="21"/>
        </w:rPr>
        <w:t>社会效果指标总数；</w:t>
      </w:r>
    </w:p>
    <w:p w14:paraId="46E5079E">
      <w:pPr>
        <w:adjustRightInd/>
        <w:snapToGrid/>
        <w:spacing w:before="0" w:beforeLines="0"/>
        <w:ind w:firstLine="420"/>
        <w:rPr>
          <w:rFonts w:ascii="Times New Roman" w:hAnsi="Times New Roman" w:cs="Times New Roman" w:eastAsiaTheme="minorEastAsia"/>
          <w:szCs w:val="21"/>
        </w:rPr>
      </w:pPr>
      <w:r>
        <w:rPr>
          <w:rFonts w:hint="eastAsia" w:ascii="Times New Roman" w:hAnsi="Times New Roman" w:cs="Times New Roman" w:eastAsiaTheme="minorEastAsia"/>
          <w:i/>
          <w:iCs/>
          <w:szCs w:val="21"/>
          <w:lang w:eastAsia="zh-CN"/>
        </w:rPr>
        <w:t>z.</w:t>
      </w:r>
      <w:r>
        <w:rPr>
          <w:rFonts w:hint="eastAsia" w:ascii="Times New Roman" w:hAnsi="Times New Roman" w:cs="Times New Roman" w:eastAsiaTheme="minorEastAsia"/>
          <w:szCs w:val="21"/>
        </w:rPr>
        <w:t>经济效果指标总数；</w:t>
      </w:r>
    </w:p>
    <w:p w14:paraId="6219BB46">
      <w:pPr>
        <w:adjustRightInd/>
        <w:snapToGrid/>
        <w:spacing w:before="0" w:beforeLines="0"/>
        <w:ind w:firstLine="420"/>
        <w:rPr>
          <w:rFonts w:hint="eastAsia" w:ascii="Times New Roman" w:hAnsi="Times New Roman" w:cs="Times New Roman" w:eastAsiaTheme="minorEastAsia"/>
          <w:szCs w:val="21"/>
          <w:lang w:eastAsia="zh-CN"/>
        </w:rPr>
      </w:pPr>
      <w:r>
        <w:rPr>
          <w:rFonts w:ascii="Times New Roman" w:hAnsi="Times New Roman" w:cs="Times New Roman" w:eastAsiaTheme="minorEastAsia"/>
          <w:i/>
          <w:iCs/>
          <w:szCs w:val="21"/>
        </w:rPr>
        <w:t>α</w:t>
      </w:r>
      <w:r>
        <w:rPr>
          <w:rFonts w:ascii="Times New Roman" w:hAnsi="Times New Roman" w:cs="Times New Roman" w:eastAsiaTheme="minorEastAsia"/>
          <w:szCs w:val="21"/>
        </w:rPr>
        <w:t>、</w:t>
      </w:r>
      <w:r>
        <w:rPr>
          <w:rFonts w:ascii="Times New Roman" w:hAnsi="Times New Roman" w:cs="Times New Roman" w:eastAsiaTheme="minorEastAsia"/>
          <w:i/>
          <w:iCs/>
          <w:szCs w:val="21"/>
        </w:rPr>
        <w:t>β</w:t>
      </w:r>
      <w:r>
        <w:rPr>
          <w:rFonts w:ascii="Times New Roman" w:hAnsi="Times New Roman" w:cs="Times New Roman" w:eastAsiaTheme="minorEastAsia"/>
          <w:szCs w:val="21"/>
        </w:rPr>
        <w:t>：</w:t>
      </w:r>
      <w:r>
        <w:rPr>
          <w:rFonts w:hint="eastAsia" w:ascii="Times New Roman" w:hAnsi="Times New Roman" w:cs="Times New Roman" w:eastAsiaTheme="minorEastAsia"/>
          <w:szCs w:val="21"/>
        </w:rPr>
        <w:t>社会效果、经济效果类</w:t>
      </w:r>
      <w:r>
        <w:rPr>
          <w:rFonts w:ascii="Times New Roman" w:hAnsi="Times New Roman" w:cs="Times New Roman" w:eastAsiaTheme="minorEastAsia"/>
          <w:szCs w:val="21"/>
        </w:rPr>
        <w:t>权重系数</w:t>
      </w:r>
      <w:r>
        <w:rPr>
          <w:rFonts w:hint="eastAsia" w:ascii="Times New Roman" w:hAnsi="Times New Roman" w:cs="Times New Roman" w:eastAsiaTheme="minorEastAsia"/>
          <w:szCs w:val="21"/>
          <w:lang w:eastAsia="zh-CN"/>
        </w:rPr>
        <w:t>。</w:t>
      </w:r>
    </w:p>
    <w:p w14:paraId="5A6B8DBD">
      <w:pPr>
        <w:pStyle w:val="64"/>
        <w:spacing w:before="312" w:beforeLines="100" w:after="156" w:afterLines="50"/>
        <w:jc w:val="left"/>
        <w:outlineLvl w:val="2"/>
        <w:rPr>
          <w:rFonts w:hint="eastAsia" w:ascii="黑体" w:hAnsi="黑体" w:eastAsia="黑体" w:cs="黑体"/>
        </w:rPr>
      </w:pPr>
      <w:r>
        <w:rPr>
          <w:rFonts w:hint="eastAsia" w:ascii="黑体" w:hAnsi="黑体" w:eastAsia="黑体" w:cs="黑体"/>
        </w:rPr>
        <w:t>综合效果评估</w:t>
      </w:r>
    </w:p>
    <w:p w14:paraId="644882B7">
      <w:pPr>
        <w:widowControl/>
        <w:numPr>
          <w:ilvl w:val="255"/>
          <w:numId w:val="0"/>
        </w:numPr>
        <w:adjustRightInd/>
        <w:snapToGrid/>
        <w:spacing w:before="0" w:beforeLines="0"/>
        <w:ind w:firstLine="420"/>
        <w:rPr>
          <w:rFonts w:ascii="Times New Roman" w:hAnsi="Times New Roman" w:cs="Times New Roman"/>
          <w:szCs w:val="21"/>
        </w:rPr>
      </w:pPr>
      <w:r>
        <w:rPr>
          <w:rFonts w:hint="eastAsia"/>
          <w:szCs w:val="21"/>
        </w:rPr>
        <w:t>综合</w:t>
      </w:r>
      <w:r>
        <w:rPr>
          <w:rFonts w:hint="eastAsia"/>
          <w:szCs w:val="21"/>
          <w:lang w:val="en-US" w:eastAsia="zh-CN"/>
        </w:rPr>
        <w:t>效果</w:t>
      </w:r>
      <w:r>
        <w:rPr>
          <w:rFonts w:hint="eastAsia"/>
          <w:szCs w:val="21"/>
        </w:rPr>
        <w:t>指数(</w:t>
      </w:r>
      <m:oMath>
        <m:r>
          <m:rPr/>
          <w:rPr>
            <w:rFonts w:ascii="Cambria Math" w:hAnsi="Cambria Math" w:cs="Times New Roman"/>
            <w:szCs w:val="21"/>
          </w:rPr>
          <m:t>ESQI</m:t>
        </m:r>
      </m:oMath>
      <w:r>
        <w:rPr>
          <w:rFonts w:hint="eastAsia" w:hAnsi="Cambria Math" w:cs="Times New Roman"/>
          <w:i w:val="0"/>
          <w:szCs w:val="21"/>
          <w:lang w:eastAsia="zh-CN"/>
        </w:rPr>
        <w:t>)</w:t>
      </w:r>
      <w:r>
        <w:rPr>
          <w:rFonts w:hint="eastAsia"/>
          <w:szCs w:val="21"/>
        </w:rPr>
        <w:t>是综合考虑规划目标完成度、生态效果提升率和经济社会效果改善度评估结果。计算公式如下：</w:t>
      </w:r>
    </w:p>
    <w:p w14:paraId="5018C580">
      <w:pPr>
        <w:spacing w:before="156"/>
        <w:ind w:firstLine="420"/>
        <w:rPr>
          <w:rFonts w:hint="eastAsia"/>
        </w:rPr>
      </w:pPr>
      <m:oMathPara>
        <m:oMath>
          <m:r>
            <m:rPr/>
            <w:rPr>
              <w:rFonts w:ascii="Cambria Math" w:hAnsi="Cambria Math" w:cs="Times New Roman"/>
              <w:szCs w:val="21"/>
            </w:rPr>
            <m:t>ESQI=</m:t>
          </m:r>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α</m:t>
              </m:r>
              <m:ctrlPr>
                <w:rPr>
                  <w:rFonts w:ascii="Cambria Math" w:hAnsi="Cambria Math" w:cs="Times New Roman"/>
                  <w:i/>
                  <w:szCs w:val="21"/>
                </w:rPr>
              </m:ctrlPr>
            </m:sub>
          </m:sSub>
          <m:r>
            <m:rPr/>
            <w:rPr>
              <w:rFonts w:ascii="Cambria Math" w:hAnsi="Cambria Math" w:cs="Cambria Math"/>
              <w:szCs w:val="21"/>
            </w:rPr>
            <m:t>∗</m:t>
          </m:r>
          <m:r>
            <m:rPr/>
            <w:rPr>
              <w:rFonts w:ascii="Cambria Math" w:hAnsi="Cambria Math" w:cs="Times New Roman" w:eastAsiaTheme="minorEastAsia"/>
              <w:szCs w:val="21"/>
            </w:rPr>
            <m:t>∆OQI</m:t>
          </m:r>
          <m:r>
            <m:rPr/>
            <w:rPr>
              <w:rFonts w:ascii="Cambria Math" w:hAnsi="Cambria Math" w:cs="Times New Roman"/>
              <w:szCs w:val="21"/>
            </w:rPr>
            <m:t>+</m:t>
          </m:r>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β</m:t>
              </m:r>
              <m:ctrlPr>
                <w:rPr>
                  <w:rFonts w:ascii="Cambria Math" w:hAnsi="Cambria Math" w:cs="Times New Roman"/>
                  <w:i/>
                  <w:szCs w:val="21"/>
                </w:rPr>
              </m:ctrlPr>
            </m:sub>
          </m:sSub>
          <m:r>
            <m:rPr/>
            <w:rPr>
              <w:rFonts w:ascii="Cambria Math" w:hAnsi="Cambria Math" w:cs="Times New Roman"/>
              <w:szCs w:val="21"/>
            </w:rPr>
            <m:t>∗</m:t>
          </m:r>
          <m:r>
            <m:rPr/>
            <w:rPr>
              <w:rFonts w:hint="eastAsia" w:ascii="Times New Roman" w:hAnsi="Times New Roman" w:cs="Times New Roman" w:eastAsiaTheme="minorEastAsia"/>
              <w:szCs w:val="21"/>
            </w:rPr>
            <m:t>∆EQI</m:t>
          </m:r>
          <m:r>
            <m:rPr/>
            <w:rPr>
              <w:rFonts w:ascii="Cambria Math" w:hAnsi="Cambria Math" w:cs="Times New Roman" w:eastAsiaTheme="minorEastAsia"/>
              <w:szCs w:val="21"/>
            </w:rPr>
            <m:t>+</m:t>
          </m:r>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γ</m:t>
              </m:r>
              <m:ctrlPr>
                <w:rPr>
                  <w:rFonts w:ascii="Cambria Math" w:hAnsi="Cambria Math" w:cs="Times New Roman"/>
                  <w:i/>
                  <w:szCs w:val="21"/>
                </w:rPr>
              </m:ctrlPr>
            </m:sub>
          </m:sSub>
          <m:r>
            <m:rPr/>
            <w:rPr>
              <w:rFonts w:ascii="Cambria Math" w:hAnsi="Cambria Math" w:cs="Times New Roman"/>
              <w:szCs w:val="21"/>
            </w:rPr>
            <m:t>∗∆ESI</m:t>
          </m:r>
        </m:oMath>
      </m:oMathPara>
    </w:p>
    <w:p w14:paraId="52BAD32B">
      <w:pPr>
        <w:spacing w:before="0" w:beforeLines="0"/>
        <w:ind w:firstLine="420"/>
        <w:rPr>
          <w:rFonts w:hint="eastAsia"/>
          <w:szCs w:val="21"/>
        </w:rPr>
      </w:pPr>
      <w:r>
        <w:rPr>
          <w:rFonts w:hint="eastAsia"/>
          <w:szCs w:val="21"/>
        </w:rPr>
        <w:t>式中：</w:t>
      </w:r>
    </w:p>
    <w:p w14:paraId="2EE92B04">
      <w:pPr>
        <w:widowControl/>
        <w:spacing w:before="0" w:beforeLines="0"/>
        <w:ind w:firstLine="420"/>
        <w:rPr>
          <w:rFonts w:hint="eastAsia" w:cs="宋体"/>
          <w:color w:val="000000"/>
          <w:kern w:val="0"/>
          <w:szCs w:val="21"/>
          <w:lang w:bidi="ar"/>
        </w:rPr>
      </w:pPr>
      <m:oMath>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α</m:t>
            </m:r>
            <m:ctrlPr>
              <w:rPr>
                <w:rFonts w:ascii="Cambria Math" w:hAnsi="Cambria Math" w:cs="Times New Roman"/>
                <w:i/>
                <w:szCs w:val="21"/>
              </w:rPr>
            </m:ctrlPr>
          </m:sub>
        </m:sSub>
      </m:oMath>
      <w:r>
        <w:rPr>
          <w:rFonts w:ascii="Cambria Math" w:hAnsi="Cambria Math" w:cs="Times New Roman"/>
          <w:i/>
          <w:szCs w:val="21"/>
        </w:rPr>
        <w:t xml:space="preserve"> </w:t>
      </w:r>
      <w:r>
        <w:rPr>
          <w:rFonts w:hint="eastAsia" w:ascii="Cambria Math" w:hAnsi="Cambria Math" w:cs="Times New Roman"/>
          <w:iCs/>
          <w:szCs w:val="21"/>
        </w:rPr>
        <w:t>：</w:t>
      </w:r>
      <w:r>
        <w:rPr>
          <w:rFonts w:hint="eastAsia" w:ascii="Times New Roman" w:hAnsi="Times New Roman" w:cs="Times New Roman"/>
          <w:szCs w:val="21"/>
        </w:rPr>
        <w:t>规划目标评估的</w:t>
      </w:r>
      <w:r>
        <w:rPr>
          <w:rFonts w:hint="eastAsia" w:cs="宋体"/>
          <w:color w:val="000000"/>
          <w:kern w:val="0"/>
          <w:szCs w:val="21"/>
          <w:lang w:bidi="ar"/>
        </w:rPr>
        <w:t>权重；</w:t>
      </w:r>
    </w:p>
    <w:p w14:paraId="04662D54">
      <w:pPr>
        <w:widowControl/>
        <w:spacing w:before="0" w:beforeLines="0"/>
        <w:ind w:firstLine="420"/>
        <w:rPr>
          <w:rFonts w:hint="eastAsia" w:cs="宋体"/>
          <w:color w:val="000000"/>
          <w:kern w:val="0"/>
          <w:szCs w:val="21"/>
          <w:lang w:bidi="ar"/>
        </w:rPr>
      </w:pPr>
      <m:oMath>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β</m:t>
            </m:r>
            <m:ctrlPr>
              <w:rPr>
                <w:rFonts w:ascii="Cambria Math" w:hAnsi="Cambria Math" w:cs="Times New Roman"/>
                <w:i/>
                <w:szCs w:val="21"/>
              </w:rPr>
            </m:ctrlPr>
          </m:sub>
        </m:sSub>
      </m:oMath>
      <w:r>
        <w:rPr>
          <w:rFonts w:ascii="Cambria Math" w:hAnsi="Cambria Math" w:cs="Times New Roman"/>
          <w:i/>
          <w:szCs w:val="21"/>
        </w:rPr>
        <w:t xml:space="preserve"> </w:t>
      </w:r>
      <w:r>
        <w:rPr>
          <w:rFonts w:hint="eastAsia" w:ascii="Cambria Math" w:hAnsi="Cambria Math" w:cs="Times New Roman"/>
          <w:iCs/>
          <w:szCs w:val="21"/>
        </w:rPr>
        <w:t>：</w:t>
      </w:r>
      <w:r>
        <w:rPr>
          <w:rFonts w:hint="eastAsia" w:ascii="Times New Roman" w:hAnsi="Times New Roman" w:cs="Times New Roman" w:eastAsiaTheme="minorEastAsia"/>
          <w:szCs w:val="21"/>
        </w:rPr>
        <w:t>生态效果</w:t>
      </w:r>
      <w:r>
        <w:rPr>
          <w:rFonts w:hint="eastAsia" w:ascii="Times New Roman" w:hAnsi="Times New Roman" w:cs="Times New Roman"/>
          <w:szCs w:val="21"/>
        </w:rPr>
        <w:t>评估的</w:t>
      </w:r>
      <w:r>
        <w:rPr>
          <w:rFonts w:hint="eastAsia" w:cs="宋体"/>
          <w:color w:val="000000"/>
          <w:kern w:val="0"/>
          <w:szCs w:val="21"/>
          <w:lang w:bidi="ar"/>
        </w:rPr>
        <w:t>权重；</w:t>
      </w:r>
    </w:p>
    <w:p w14:paraId="5546264C">
      <w:pPr>
        <w:spacing w:before="0" w:beforeLines="0"/>
        <w:ind w:firstLine="420"/>
        <w:rPr>
          <w:rFonts w:hint="eastAsia" w:cs="宋体"/>
          <w:color w:val="000000"/>
          <w:kern w:val="0"/>
          <w:szCs w:val="21"/>
          <w:lang w:bidi="ar"/>
        </w:rPr>
      </w:pPr>
      <m:oMath>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γ</m:t>
            </m:r>
            <m:ctrlPr>
              <w:rPr>
                <w:rFonts w:ascii="Cambria Math" w:hAnsi="Cambria Math" w:cs="Times New Roman"/>
                <w:i/>
                <w:szCs w:val="21"/>
              </w:rPr>
            </m:ctrlPr>
          </m:sub>
        </m:sSub>
      </m:oMath>
      <w:r>
        <w:rPr>
          <w:rFonts w:ascii="Cambria Math" w:hAnsi="Cambria Math" w:cs="Times New Roman"/>
          <w:i/>
          <w:szCs w:val="21"/>
        </w:rPr>
        <w:t xml:space="preserve"> </w:t>
      </w:r>
      <w:r>
        <w:rPr>
          <w:rFonts w:hint="eastAsia" w:ascii="Cambria Math" w:hAnsi="Cambria Math" w:cs="Times New Roman"/>
          <w:iCs/>
          <w:szCs w:val="21"/>
        </w:rPr>
        <w:t>：</w:t>
      </w:r>
      <w:r>
        <w:rPr>
          <w:rFonts w:hint="eastAsia" w:ascii="Times New Roman" w:hAnsi="Times New Roman" w:cs="Times New Roman" w:eastAsiaTheme="minorEastAsia"/>
          <w:szCs w:val="21"/>
        </w:rPr>
        <w:t>经济社会效果</w:t>
      </w:r>
      <w:r>
        <w:rPr>
          <w:rFonts w:hint="eastAsia" w:ascii="Times New Roman" w:hAnsi="Times New Roman" w:cs="Times New Roman"/>
          <w:szCs w:val="21"/>
        </w:rPr>
        <w:t>评估的</w:t>
      </w:r>
      <w:r>
        <w:rPr>
          <w:rFonts w:hint="eastAsia" w:cs="宋体"/>
          <w:color w:val="000000"/>
          <w:kern w:val="0"/>
          <w:szCs w:val="21"/>
          <w:lang w:bidi="ar"/>
        </w:rPr>
        <w:t>权重；</w:t>
      </w:r>
    </w:p>
    <w:p w14:paraId="574E2D69">
      <w:pPr>
        <w:spacing w:before="0" w:beforeLines="0"/>
        <w:ind w:firstLine="420"/>
        <w:rPr>
          <w:rFonts w:hint="eastAsia" w:ascii="Times New Roman" w:hAnsi="Times New Roman" w:eastAsia="宋体" w:cs="Times New Roman"/>
          <w:szCs w:val="21"/>
          <w:lang w:eastAsia="zh-CN"/>
        </w:rPr>
      </w:pPr>
      <m:oMath>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α</m:t>
            </m:r>
            <m:ctrlPr>
              <w:rPr>
                <w:rFonts w:ascii="Cambria Math" w:hAnsi="Cambria Math" w:cs="Times New Roman"/>
                <w:i/>
                <w:szCs w:val="21"/>
              </w:rPr>
            </m:ctrlPr>
          </m:sub>
        </m:sSub>
        <m:r>
          <m:rPr/>
          <w:rPr>
            <w:rFonts w:ascii="Cambria Math" w:hAnsi="Cambria Math" w:cs="Times New Roman"/>
            <w:szCs w:val="21"/>
          </w:rPr>
          <m:t>+</m:t>
        </m:r>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β</m:t>
            </m:r>
            <m:ctrlPr>
              <w:rPr>
                <w:rFonts w:ascii="Cambria Math" w:hAnsi="Cambria Math" w:cs="Times New Roman"/>
                <w:i/>
                <w:szCs w:val="21"/>
              </w:rPr>
            </m:ctrlPr>
          </m:sub>
        </m:sSub>
        <m:r>
          <m:rPr/>
          <w:rPr>
            <w:rFonts w:ascii="Cambria Math" w:hAnsi="Cambria Math" w:cs="Times New Roman"/>
            <w:szCs w:val="21"/>
          </w:rPr>
          <m:t>+</m:t>
        </m:r>
        <m:sSub>
          <m:sSubPr>
            <m:ctrlPr>
              <w:rPr>
                <w:rFonts w:ascii="Cambria Math" w:hAnsi="Cambria Math" w:cs="Times New Roman"/>
                <w:i/>
                <w:szCs w:val="21"/>
              </w:rPr>
            </m:ctrlPr>
          </m:sSubPr>
          <m:e>
            <m:r>
              <m:rPr/>
              <w:rPr>
                <w:rFonts w:ascii="Cambria Math" w:hAnsi="Cambria Math" w:cs="Times New Roman"/>
                <w:szCs w:val="21"/>
              </w:rPr>
              <m:t>P</m:t>
            </m:r>
            <m:ctrlPr>
              <w:rPr>
                <w:rFonts w:ascii="Cambria Math" w:hAnsi="Cambria Math" w:cs="Times New Roman"/>
                <w:i/>
                <w:szCs w:val="21"/>
              </w:rPr>
            </m:ctrlPr>
          </m:e>
          <m:sub>
            <m:r>
              <m:rPr/>
              <w:rPr>
                <w:rFonts w:ascii="Cambria Math" w:hAnsi="Cambria Math" w:cs="Times New Roman"/>
                <w:szCs w:val="21"/>
              </w:rPr>
              <m:t>γ</m:t>
            </m:r>
            <m:ctrlPr>
              <w:rPr>
                <w:rFonts w:ascii="Cambria Math" w:hAnsi="Cambria Math" w:cs="Times New Roman"/>
                <w:i/>
                <w:szCs w:val="21"/>
              </w:rPr>
            </m:ctrlPr>
          </m:sub>
        </m:sSub>
        <m:r>
          <m:rPr/>
          <w:rPr>
            <w:rFonts w:ascii="Cambria Math" w:hAnsi="Cambria Math" w:cs="Times New Roman"/>
            <w:szCs w:val="21"/>
          </w:rPr>
          <m:t>=1</m:t>
        </m:r>
      </m:oMath>
      <w:r>
        <w:rPr>
          <w:rFonts w:hint="eastAsia" w:ascii="Cambria Math" w:hAnsi="Cambria Math" w:cs="Times New Roman"/>
          <w:iCs/>
          <w:szCs w:val="21"/>
          <w:lang w:eastAsia="zh-CN"/>
        </w:rPr>
        <w:t>。</w:t>
      </w:r>
    </w:p>
    <w:p w14:paraId="5B5EBF3C">
      <w:pPr>
        <w:spacing w:before="0" w:beforeLines="0"/>
        <w:ind w:firstLine="0" w:firstLineChars="0"/>
        <w:rPr>
          <w:rFonts w:ascii="Times New Roman" w:hAnsi="Times New Roman" w:cs="Times New Roman" w:eastAsiaTheme="minorEastAsia"/>
          <w:szCs w:val="32"/>
        </w:rPr>
      </w:pPr>
      <w:r>
        <w:rPr>
          <w:rFonts w:hint="eastAsia" w:ascii="Times New Roman" w:hAnsi="Times New Roman" w:cs="Times New Roman" w:eastAsiaTheme="minorEastAsia"/>
          <w:szCs w:val="32"/>
        </w:rPr>
        <w:br w:type="page"/>
      </w:r>
    </w:p>
    <w:p w14:paraId="16DC6825">
      <w:pPr>
        <w:spacing w:before="156"/>
        <w:ind w:firstLine="420"/>
        <w:rPr>
          <w:rFonts w:ascii="Times New Roman" w:hAnsi="Times New Roman" w:cs="Times New Roman" w:eastAsiaTheme="minorEastAsia"/>
          <w:szCs w:val="32"/>
        </w:rPr>
      </w:pPr>
    </w:p>
    <w:p w14:paraId="41FFAECD">
      <w:pPr>
        <w:pStyle w:val="51"/>
        <w:tabs>
          <w:tab w:val="left" w:pos="360"/>
          <w:tab w:val="left" w:pos="6405"/>
        </w:tabs>
        <w:adjustRightInd/>
        <w:snapToGrid/>
        <w:spacing w:beforeLines="0" w:after="0"/>
        <w:rPr>
          <w:rFonts w:hint="eastAsia"/>
        </w:rPr>
      </w:pPr>
    </w:p>
    <w:p w14:paraId="02A07471">
      <w:pPr>
        <w:pStyle w:val="51"/>
        <w:numPr>
          <w:ilvl w:val="255"/>
          <w:numId w:val="0"/>
        </w:numPr>
        <w:tabs>
          <w:tab w:val="left" w:pos="360"/>
          <w:tab w:val="left" w:pos="6405"/>
        </w:tabs>
        <w:snapToGrid/>
        <w:spacing w:before="156" w:after="0"/>
        <w:outlineLvl w:val="2"/>
        <w:rPr>
          <w:rFonts w:hAnsi="Times New Roman" w:cs="Times New Roman"/>
        </w:rPr>
      </w:pPr>
      <w:bookmarkStart w:id="539" w:name="_Toc23817"/>
      <w:bookmarkStart w:id="540" w:name="_Toc8630"/>
      <w:bookmarkStart w:id="541" w:name="_Toc11723"/>
      <w:bookmarkStart w:id="542" w:name="_Toc4825"/>
      <w:r>
        <w:rPr>
          <w:rFonts w:hint="eastAsia" w:hAnsi="Times New Roman" w:cs="Times New Roman"/>
        </w:rPr>
        <w:t>（资料性）</w:t>
      </w:r>
      <w:bookmarkEnd w:id="539"/>
      <w:bookmarkEnd w:id="540"/>
      <w:bookmarkEnd w:id="541"/>
      <w:bookmarkEnd w:id="542"/>
    </w:p>
    <w:p w14:paraId="485F0FCF">
      <w:pPr>
        <w:pStyle w:val="51"/>
        <w:numPr>
          <w:ilvl w:val="255"/>
          <w:numId w:val="0"/>
        </w:numPr>
        <w:tabs>
          <w:tab w:val="left" w:pos="360"/>
          <w:tab w:val="left" w:pos="6405"/>
        </w:tabs>
        <w:snapToGrid/>
        <w:spacing w:before="156" w:after="0"/>
        <w:outlineLvl w:val="2"/>
        <w:rPr>
          <w:rFonts w:hAnsi="Times New Roman" w:cs="Times New Roman"/>
        </w:rPr>
      </w:pPr>
      <w:bookmarkStart w:id="543" w:name="_Toc26929"/>
      <w:bookmarkStart w:id="544" w:name="_Toc5786"/>
      <w:bookmarkStart w:id="545" w:name="_Toc8215"/>
      <w:bookmarkStart w:id="546" w:name="_Toc23265"/>
      <w:bookmarkStart w:id="547" w:name="OLE_LINK35"/>
      <w:r>
        <w:rPr>
          <w:rFonts w:hint="eastAsia" w:hAnsi="Times New Roman" w:cs="Times New Roman"/>
        </w:rPr>
        <w:t>评估结果分级</w:t>
      </w:r>
      <w:bookmarkEnd w:id="543"/>
      <w:bookmarkEnd w:id="544"/>
      <w:bookmarkEnd w:id="545"/>
      <w:bookmarkEnd w:id="546"/>
    </w:p>
    <w:p w14:paraId="5BE9BCA0">
      <w:pPr>
        <w:spacing w:before="156" w:after="156" w:afterLines="50"/>
        <w:ind w:firstLine="0" w:firstLineChars="0"/>
        <w:jc w:val="center"/>
        <w:rPr>
          <w:rFonts w:ascii="黑体" w:hAnsi="Times New Roman" w:eastAsia="黑体" w:cs="Times New Roman"/>
          <w:kern w:val="0"/>
          <w:szCs w:val="22"/>
        </w:rPr>
      </w:pPr>
      <w:bookmarkStart w:id="548" w:name="_Toc14306"/>
      <w:bookmarkStart w:id="549" w:name="_Toc27521"/>
      <w:r>
        <w:rPr>
          <w:rFonts w:hint="eastAsia" w:ascii="黑体" w:hAnsi="Times New Roman" w:eastAsia="黑体" w:cs="Times New Roman"/>
          <w:kern w:val="0"/>
          <w:szCs w:val="22"/>
        </w:rPr>
        <w:t xml:space="preserve">表C.1 </w:t>
      </w:r>
      <w:bookmarkStart w:id="550" w:name="OLE_LINK54"/>
      <w:r>
        <w:rPr>
          <w:rFonts w:hint="eastAsia" w:ascii="黑体" w:hAnsi="Times New Roman" w:eastAsia="黑体" w:cs="Times New Roman"/>
          <w:kern w:val="0"/>
          <w:szCs w:val="22"/>
        </w:rPr>
        <w:t>国土空间生态修复规划后期综合效果评估结果分级表</w:t>
      </w:r>
      <w:bookmarkEnd w:id="548"/>
      <w:bookmarkEnd w:id="549"/>
      <w:bookmarkEnd w:id="550"/>
    </w:p>
    <w:bookmarkEnd w:id="547"/>
    <w:tbl>
      <w:tblPr>
        <w:tblStyle w:val="17"/>
        <w:tblW w:w="5000" w:type="pct"/>
        <w:tblInd w:w="0" w:type="dxa"/>
        <w:tblLayout w:type="fixed"/>
        <w:tblCellMar>
          <w:top w:w="0" w:type="dxa"/>
          <w:left w:w="108" w:type="dxa"/>
          <w:bottom w:w="0" w:type="dxa"/>
          <w:right w:w="108" w:type="dxa"/>
        </w:tblCellMar>
      </w:tblPr>
      <w:tblGrid>
        <w:gridCol w:w="1064"/>
        <w:gridCol w:w="1066"/>
        <w:gridCol w:w="3704"/>
        <w:gridCol w:w="936"/>
        <w:gridCol w:w="1772"/>
        <w:gridCol w:w="812"/>
      </w:tblGrid>
      <w:tr w14:paraId="0879128E">
        <w:tblPrEx>
          <w:tblCellMar>
            <w:top w:w="0" w:type="dxa"/>
            <w:left w:w="108" w:type="dxa"/>
            <w:bottom w:w="0" w:type="dxa"/>
            <w:right w:w="108" w:type="dxa"/>
          </w:tblCellMar>
        </w:tblPrEx>
        <w:tc>
          <w:tcPr>
            <w:tcW w:w="568" w:type="pct"/>
            <w:tcBorders>
              <w:top w:val="single" w:color="000000" w:sz="4" w:space="0"/>
              <w:left w:val="single" w:color="000000" w:sz="4" w:space="0"/>
              <w:bottom w:val="single" w:color="000000" w:sz="4" w:space="0"/>
              <w:right w:val="single" w:color="000000" w:sz="4" w:space="0"/>
            </w:tcBorders>
            <w:noWrap/>
            <w:vAlign w:val="center"/>
          </w:tcPr>
          <w:p w14:paraId="0D12566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一级指标</w:t>
            </w:r>
          </w:p>
        </w:tc>
        <w:tc>
          <w:tcPr>
            <w:tcW w:w="570" w:type="pct"/>
            <w:tcBorders>
              <w:top w:val="single" w:color="000000" w:sz="4" w:space="0"/>
              <w:left w:val="single" w:color="000000" w:sz="4" w:space="0"/>
              <w:bottom w:val="single" w:color="000000" w:sz="4" w:space="0"/>
              <w:right w:val="nil"/>
            </w:tcBorders>
            <w:vAlign w:val="center"/>
          </w:tcPr>
          <w:p w14:paraId="3C624EC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二级指标</w:t>
            </w:r>
          </w:p>
        </w:tc>
        <w:tc>
          <w:tcPr>
            <w:tcW w:w="1979" w:type="pct"/>
            <w:tcBorders>
              <w:top w:val="single" w:color="000000" w:sz="4" w:space="0"/>
              <w:left w:val="single" w:color="000000" w:sz="4" w:space="0"/>
              <w:bottom w:val="single" w:color="000000" w:sz="4" w:space="0"/>
              <w:right w:val="single" w:color="000000" w:sz="4" w:space="0"/>
            </w:tcBorders>
            <w:noWrap/>
            <w:vAlign w:val="center"/>
          </w:tcPr>
          <w:p w14:paraId="076BAD7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三级指标</w:t>
            </w:r>
          </w:p>
        </w:tc>
        <w:tc>
          <w:tcPr>
            <w:tcW w:w="500" w:type="pct"/>
            <w:tcBorders>
              <w:top w:val="single" w:color="000000" w:sz="4" w:space="0"/>
              <w:left w:val="nil"/>
              <w:bottom w:val="single" w:color="000000" w:sz="4" w:space="0"/>
              <w:right w:val="single" w:color="000000" w:sz="4" w:space="0"/>
            </w:tcBorders>
            <w:noWrap/>
            <w:vAlign w:val="center"/>
          </w:tcPr>
          <w:p w14:paraId="2A5288C9">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指标</w:t>
            </w:r>
          </w:p>
          <w:p w14:paraId="0DA3E79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类型</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5AD5EE2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评估结果分级</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0D5B14CC">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备注</w:t>
            </w:r>
          </w:p>
        </w:tc>
      </w:tr>
      <w:tr w14:paraId="5716C305">
        <w:tblPrEx>
          <w:tblCellMar>
            <w:top w:w="0" w:type="dxa"/>
            <w:left w:w="108" w:type="dxa"/>
            <w:bottom w:w="0" w:type="dxa"/>
            <w:right w:w="108" w:type="dxa"/>
          </w:tblCellMar>
        </w:tblPrEx>
        <w:tc>
          <w:tcPr>
            <w:tcW w:w="568" w:type="pct"/>
            <w:vMerge w:val="restart"/>
            <w:tcBorders>
              <w:top w:val="single" w:color="auto" w:sz="4" w:space="0"/>
              <w:left w:val="single" w:color="000000" w:sz="4" w:space="0"/>
              <w:right w:val="single" w:color="000000" w:sz="4" w:space="0"/>
            </w:tcBorders>
            <w:vAlign w:val="center"/>
          </w:tcPr>
          <w:p w14:paraId="474AF58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规划目标类</w:t>
            </w:r>
          </w:p>
        </w:tc>
        <w:tc>
          <w:tcPr>
            <w:tcW w:w="570" w:type="pct"/>
            <w:vMerge w:val="restart"/>
            <w:tcBorders>
              <w:top w:val="single" w:color="auto" w:sz="4" w:space="0"/>
              <w:left w:val="single" w:color="auto" w:sz="4" w:space="0"/>
              <w:right w:val="single" w:color="auto" w:sz="4" w:space="0"/>
            </w:tcBorders>
            <w:vAlign w:val="center"/>
          </w:tcPr>
          <w:p w14:paraId="05581560">
            <w:pPr>
              <w:widowControl/>
              <w:spacing w:before="0" w:beforeLines="0"/>
              <w:ind w:firstLine="0" w:firstLineChars="0"/>
              <w:rPr>
                <w:rFonts w:hint="eastAsia" w:cs="宋体"/>
                <w:color w:val="000000"/>
                <w:sz w:val="18"/>
                <w:szCs w:val="18"/>
                <w:lang w:bidi="ar"/>
              </w:rPr>
            </w:pPr>
            <w:r>
              <w:rPr>
                <w:rFonts w:hint="eastAsia" w:cs="宋体"/>
                <w:color w:val="000000"/>
                <w:sz w:val="18"/>
                <w:szCs w:val="18"/>
                <w:lang w:bidi="ar"/>
              </w:rPr>
              <w:t>生态质量</w:t>
            </w:r>
          </w:p>
        </w:tc>
        <w:tc>
          <w:tcPr>
            <w:tcW w:w="1979" w:type="pct"/>
            <w:tcBorders>
              <w:top w:val="single" w:color="auto" w:sz="4" w:space="0"/>
              <w:left w:val="single" w:color="auto" w:sz="4" w:space="0"/>
              <w:bottom w:val="single" w:color="auto" w:sz="4" w:space="0"/>
              <w:right w:val="single" w:color="auto" w:sz="4" w:space="0"/>
            </w:tcBorders>
            <w:noWrap/>
            <w:vAlign w:val="center"/>
          </w:tcPr>
          <w:p w14:paraId="64C764F3">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生物多样性保护（国、省重点保护物种及区域特有物种有效保护比例）</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0E7E323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36E70382">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367A2D21">
            <w:pPr>
              <w:widowControl/>
              <w:spacing w:before="0" w:beforeLines="0"/>
              <w:ind w:firstLine="0" w:firstLineChars="0"/>
              <w:textAlignment w:val="center"/>
              <w:rPr>
                <w:rFonts w:hint="eastAsia" w:cs="宋体"/>
                <w:color w:val="000000"/>
                <w:kern w:val="0"/>
                <w:sz w:val="18"/>
                <w:szCs w:val="18"/>
                <w:lang w:bidi="ar"/>
              </w:rPr>
            </w:pPr>
          </w:p>
        </w:tc>
      </w:tr>
      <w:tr w14:paraId="11792076">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4F0C8B15">
            <w:pPr>
              <w:widowControl/>
              <w:spacing w:before="0" w:beforeLines="0"/>
              <w:ind w:firstLine="0" w:firstLineChars="0"/>
              <w:textAlignment w:val="center"/>
              <w:rPr>
                <w:rFonts w:hint="eastAsia" w:cs="宋体"/>
                <w:color w:val="000000"/>
                <w:kern w:val="0"/>
                <w:sz w:val="18"/>
                <w:szCs w:val="18"/>
                <w:lang w:bidi="ar"/>
              </w:rPr>
            </w:pPr>
          </w:p>
        </w:tc>
        <w:tc>
          <w:tcPr>
            <w:tcW w:w="570" w:type="pct"/>
            <w:vMerge w:val="continue"/>
            <w:tcBorders>
              <w:left w:val="single" w:color="auto" w:sz="4" w:space="0"/>
              <w:right w:val="single" w:color="auto" w:sz="4" w:space="0"/>
            </w:tcBorders>
            <w:vAlign w:val="center"/>
          </w:tcPr>
          <w:p w14:paraId="1C0C80CA">
            <w:pPr>
              <w:widowControl/>
              <w:spacing w:before="0" w:beforeLines="0"/>
              <w:ind w:firstLine="0" w:firstLineChars="0"/>
              <w:textAlignment w:val="center"/>
              <w:rPr>
                <w:rFonts w:hint="eastAsia" w:cs="宋体"/>
                <w:color w:val="000000"/>
                <w:kern w:val="0"/>
                <w:sz w:val="18"/>
                <w:szCs w:val="18"/>
                <w:lang w:bidi="ar"/>
              </w:rPr>
            </w:pPr>
          </w:p>
        </w:tc>
        <w:tc>
          <w:tcPr>
            <w:tcW w:w="1979" w:type="pct"/>
            <w:tcBorders>
              <w:top w:val="single" w:color="auto" w:sz="4" w:space="0"/>
              <w:left w:val="single" w:color="auto" w:sz="4" w:space="0"/>
              <w:bottom w:val="single" w:color="auto" w:sz="4" w:space="0"/>
              <w:right w:val="single" w:color="auto" w:sz="4" w:space="0"/>
            </w:tcBorders>
            <w:noWrap/>
            <w:vAlign w:val="center"/>
          </w:tcPr>
          <w:p w14:paraId="66115D1D">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生态保护红线面积</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1658000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5644E42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5D51C685">
            <w:pPr>
              <w:widowControl/>
              <w:spacing w:before="0" w:beforeLines="0"/>
              <w:ind w:firstLine="0" w:firstLineChars="0"/>
              <w:textAlignment w:val="center"/>
              <w:rPr>
                <w:rFonts w:hint="eastAsia" w:cs="宋体"/>
                <w:color w:val="000000"/>
                <w:kern w:val="0"/>
                <w:sz w:val="18"/>
                <w:szCs w:val="18"/>
                <w:lang w:bidi="ar"/>
              </w:rPr>
            </w:pPr>
          </w:p>
        </w:tc>
      </w:tr>
      <w:tr w14:paraId="2B0E5055">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30CB26A2">
            <w:pPr>
              <w:widowControl/>
              <w:spacing w:before="0" w:beforeLines="0"/>
              <w:ind w:firstLine="0" w:firstLineChars="0"/>
              <w:textAlignment w:val="center"/>
              <w:rPr>
                <w:rFonts w:hint="eastAsia" w:cs="宋体"/>
                <w:color w:val="000000"/>
                <w:kern w:val="0"/>
                <w:sz w:val="18"/>
                <w:szCs w:val="18"/>
                <w:lang w:bidi="ar"/>
              </w:rPr>
            </w:pPr>
          </w:p>
        </w:tc>
        <w:tc>
          <w:tcPr>
            <w:tcW w:w="570" w:type="pct"/>
            <w:vMerge w:val="continue"/>
            <w:tcBorders>
              <w:left w:val="single" w:color="auto" w:sz="4" w:space="0"/>
              <w:right w:val="single" w:color="auto" w:sz="4" w:space="0"/>
            </w:tcBorders>
            <w:vAlign w:val="center"/>
          </w:tcPr>
          <w:p w14:paraId="558D914A">
            <w:pPr>
              <w:widowControl/>
              <w:spacing w:before="0" w:beforeLines="0"/>
              <w:ind w:firstLine="0" w:firstLineChars="0"/>
              <w:textAlignment w:val="center"/>
              <w:rPr>
                <w:rFonts w:hint="eastAsia" w:cs="宋体"/>
                <w:color w:val="000000"/>
                <w:kern w:val="0"/>
                <w:sz w:val="18"/>
                <w:szCs w:val="18"/>
                <w:lang w:bidi="ar"/>
              </w:rPr>
            </w:pPr>
          </w:p>
        </w:tc>
        <w:tc>
          <w:tcPr>
            <w:tcW w:w="1979" w:type="pct"/>
            <w:tcBorders>
              <w:top w:val="single" w:color="auto" w:sz="4" w:space="0"/>
              <w:left w:val="single" w:color="auto" w:sz="4" w:space="0"/>
              <w:bottom w:val="single" w:color="auto" w:sz="4" w:space="0"/>
              <w:right w:val="single" w:color="auto" w:sz="4" w:space="0"/>
            </w:tcBorders>
            <w:noWrap/>
            <w:vAlign w:val="center"/>
          </w:tcPr>
          <w:p w14:paraId="0D2E408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森林覆盖率</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77AD487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527C8D4D">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55ABF7D7">
            <w:pPr>
              <w:widowControl/>
              <w:spacing w:before="0" w:beforeLines="0"/>
              <w:ind w:firstLine="0" w:firstLineChars="0"/>
              <w:textAlignment w:val="center"/>
              <w:rPr>
                <w:rFonts w:hint="eastAsia" w:cs="宋体"/>
                <w:color w:val="000000"/>
                <w:kern w:val="0"/>
                <w:sz w:val="18"/>
                <w:szCs w:val="18"/>
                <w:lang w:bidi="ar"/>
              </w:rPr>
            </w:pPr>
          </w:p>
        </w:tc>
      </w:tr>
      <w:tr w14:paraId="250FDC31">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5EC36687">
            <w:pPr>
              <w:widowControl/>
              <w:spacing w:before="0" w:beforeLines="0"/>
              <w:ind w:firstLine="0" w:firstLineChars="0"/>
              <w:textAlignment w:val="center"/>
              <w:rPr>
                <w:rFonts w:hint="eastAsia" w:cs="宋体"/>
                <w:color w:val="000000"/>
                <w:kern w:val="0"/>
                <w:sz w:val="18"/>
                <w:szCs w:val="18"/>
                <w:lang w:bidi="ar"/>
              </w:rPr>
            </w:pPr>
          </w:p>
        </w:tc>
        <w:tc>
          <w:tcPr>
            <w:tcW w:w="570" w:type="pct"/>
            <w:vMerge w:val="continue"/>
            <w:tcBorders>
              <w:left w:val="single" w:color="auto" w:sz="4" w:space="0"/>
              <w:right w:val="single" w:color="auto" w:sz="4" w:space="0"/>
            </w:tcBorders>
            <w:vAlign w:val="center"/>
          </w:tcPr>
          <w:p w14:paraId="4C88D8F1">
            <w:pPr>
              <w:widowControl/>
              <w:spacing w:before="0" w:beforeLines="0"/>
              <w:ind w:firstLine="0" w:firstLineChars="0"/>
              <w:textAlignment w:val="center"/>
              <w:rPr>
                <w:rFonts w:hint="eastAsia" w:cs="宋体"/>
                <w:color w:val="000000"/>
                <w:kern w:val="0"/>
                <w:sz w:val="18"/>
                <w:szCs w:val="18"/>
                <w:lang w:bidi="ar"/>
              </w:rPr>
            </w:pPr>
          </w:p>
        </w:tc>
        <w:tc>
          <w:tcPr>
            <w:tcW w:w="1979" w:type="pct"/>
            <w:tcBorders>
              <w:top w:val="single" w:color="auto" w:sz="4" w:space="0"/>
              <w:left w:val="single" w:color="auto" w:sz="4" w:space="0"/>
              <w:bottom w:val="single" w:color="auto" w:sz="4" w:space="0"/>
              <w:right w:val="single" w:color="auto" w:sz="4" w:space="0"/>
            </w:tcBorders>
            <w:noWrap/>
            <w:vAlign w:val="center"/>
          </w:tcPr>
          <w:p w14:paraId="7B2B7E4D">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自然保护地占比</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37B9DA22">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2DA20080">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311F1B57">
            <w:pPr>
              <w:widowControl/>
              <w:spacing w:before="0" w:beforeLines="0"/>
              <w:ind w:firstLine="0" w:firstLineChars="0"/>
              <w:textAlignment w:val="center"/>
              <w:rPr>
                <w:rFonts w:hint="eastAsia" w:cs="宋体"/>
                <w:color w:val="000000"/>
                <w:kern w:val="0"/>
                <w:sz w:val="18"/>
                <w:szCs w:val="18"/>
                <w:lang w:bidi="ar"/>
              </w:rPr>
            </w:pPr>
          </w:p>
        </w:tc>
      </w:tr>
      <w:tr w14:paraId="2E25B3D0">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2BD2BC81">
            <w:pPr>
              <w:widowControl/>
              <w:spacing w:before="0" w:beforeLines="0"/>
              <w:ind w:firstLine="0" w:firstLineChars="0"/>
              <w:textAlignment w:val="center"/>
              <w:rPr>
                <w:rFonts w:hint="eastAsia" w:cs="宋体"/>
                <w:color w:val="000000"/>
                <w:kern w:val="0"/>
                <w:sz w:val="18"/>
                <w:szCs w:val="18"/>
                <w:lang w:bidi="ar"/>
              </w:rPr>
            </w:pPr>
          </w:p>
        </w:tc>
        <w:tc>
          <w:tcPr>
            <w:tcW w:w="570" w:type="pct"/>
            <w:vMerge w:val="continue"/>
            <w:tcBorders>
              <w:left w:val="single" w:color="auto" w:sz="4" w:space="0"/>
              <w:right w:val="single" w:color="auto" w:sz="4" w:space="0"/>
            </w:tcBorders>
            <w:vAlign w:val="center"/>
          </w:tcPr>
          <w:p w14:paraId="2DBC59DD">
            <w:pPr>
              <w:widowControl/>
              <w:spacing w:before="0" w:beforeLines="0"/>
              <w:ind w:firstLine="0" w:firstLineChars="0"/>
              <w:textAlignment w:val="center"/>
              <w:rPr>
                <w:rFonts w:hint="eastAsia" w:cs="宋体"/>
                <w:color w:val="000000"/>
                <w:kern w:val="0"/>
                <w:sz w:val="18"/>
                <w:szCs w:val="18"/>
                <w:lang w:bidi="ar"/>
              </w:rPr>
            </w:pPr>
          </w:p>
        </w:tc>
        <w:tc>
          <w:tcPr>
            <w:tcW w:w="1979" w:type="pct"/>
            <w:tcBorders>
              <w:top w:val="single" w:color="auto" w:sz="4" w:space="0"/>
              <w:left w:val="single" w:color="auto" w:sz="4" w:space="0"/>
              <w:bottom w:val="single" w:color="auto" w:sz="4" w:space="0"/>
              <w:right w:val="single" w:color="auto" w:sz="4" w:space="0"/>
            </w:tcBorders>
            <w:noWrap/>
            <w:vAlign w:val="center"/>
          </w:tcPr>
          <w:p w14:paraId="4B9AFA2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森林蓄积量</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0FD163E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2B55A02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470AEAD8">
            <w:pPr>
              <w:widowControl/>
              <w:spacing w:before="0" w:beforeLines="0"/>
              <w:ind w:firstLine="0" w:firstLineChars="0"/>
              <w:textAlignment w:val="center"/>
              <w:rPr>
                <w:rFonts w:hint="eastAsia" w:cs="宋体"/>
                <w:color w:val="000000"/>
                <w:kern w:val="0"/>
                <w:sz w:val="18"/>
                <w:szCs w:val="18"/>
                <w:lang w:bidi="ar"/>
              </w:rPr>
            </w:pPr>
          </w:p>
        </w:tc>
      </w:tr>
      <w:tr w14:paraId="64629B7E">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29EA86D8">
            <w:pPr>
              <w:widowControl/>
              <w:spacing w:before="0" w:beforeLines="0"/>
              <w:ind w:firstLine="0" w:firstLineChars="0"/>
              <w:textAlignment w:val="center"/>
              <w:rPr>
                <w:rFonts w:hint="eastAsia" w:cs="宋体"/>
                <w:color w:val="000000"/>
                <w:kern w:val="0"/>
                <w:sz w:val="18"/>
                <w:szCs w:val="18"/>
                <w:lang w:bidi="ar"/>
              </w:rPr>
            </w:pPr>
          </w:p>
        </w:tc>
        <w:tc>
          <w:tcPr>
            <w:tcW w:w="570" w:type="pct"/>
            <w:vMerge w:val="continue"/>
            <w:tcBorders>
              <w:left w:val="single" w:color="auto" w:sz="4" w:space="0"/>
              <w:right w:val="single" w:color="auto" w:sz="4" w:space="0"/>
            </w:tcBorders>
            <w:vAlign w:val="center"/>
          </w:tcPr>
          <w:p w14:paraId="604CFF04">
            <w:pPr>
              <w:widowControl/>
              <w:spacing w:before="0" w:beforeLines="0"/>
              <w:ind w:firstLine="0" w:firstLineChars="0"/>
              <w:textAlignment w:val="center"/>
              <w:rPr>
                <w:rFonts w:hint="eastAsia" w:cs="宋体"/>
                <w:color w:val="000000"/>
                <w:kern w:val="0"/>
                <w:sz w:val="18"/>
                <w:szCs w:val="18"/>
                <w:lang w:bidi="ar"/>
              </w:rPr>
            </w:pPr>
          </w:p>
        </w:tc>
        <w:tc>
          <w:tcPr>
            <w:tcW w:w="1979" w:type="pct"/>
            <w:tcBorders>
              <w:top w:val="single" w:color="auto" w:sz="4" w:space="0"/>
              <w:left w:val="single" w:color="auto" w:sz="4" w:space="0"/>
              <w:bottom w:val="single" w:color="auto" w:sz="4" w:space="0"/>
              <w:right w:val="single" w:color="auto" w:sz="4" w:space="0"/>
            </w:tcBorders>
            <w:noWrap/>
            <w:vAlign w:val="center"/>
          </w:tcPr>
          <w:p w14:paraId="5605333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草原综合植被盖度</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154DA49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25BDDC4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3AEEC3FF">
            <w:pPr>
              <w:widowControl/>
              <w:spacing w:before="0" w:beforeLines="0"/>
              <w:ind w:firstLine="0" w:firstLineChars="0"/>
              <w:textAlignment w:val="center"/>
              <w:rPr>
                <w:rFonts w:hint="eastAsia" w:cs="宋体"/>
                <w:color w:val="000000"/>
                <w:kern w:val="0"/>
                <w:sz w:val="18"/>
                <w:szCs w:val="18"/>
                <w:lang w:bidi="ar"/>
              </w:rPr>
            </w:pPr>
          </w:p>
        </w:tc>
      </w:tr>
      <w:tr w14:paraId="5C2CC484">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2F4661D7">
            <w:pPr>
              <w:widowControl/>
              <w:spacing w:before="0" w:beforeLines="0"/>
              <w:ind w:firstLine="0" w:firstLineChars="0"/>
              <w:textAlignment w:val="center"/>
              <w:rPr>
                <w:rFonts w:hint="eastAsia" w:cs="宋体"/>
                <w:color w:val="000000"/>
                <w:kern w:val="0"/>
                <w:sz w:val="18"/>
                <w:szCs w:val="18"/>
                <w:lang w:bidi="ar"/>
              </w:rPr>
            </w:pPr>
          </w:p>
        </w:tc>
        <w:tc>
          <w:tcPr>
            <w:tcW w:w="570" w:type="pct"/>
            <w:vMerge w:val="continue"/>
            <w:tcBorders>
              <w:left w:val="single" w:color="auto" w:sz="4" w:space="0"/>
              <w:right w:val="single" w:color="auto" w:sz="4" w:space="0"/>
            </w:tcBorders>
            <w:vAlign w:val="center"/>
          </w:tcPr>
          <w:p w14:paraId="76399A32">
            <w:pPr>
              <w:widowControl/>
              <w:spacing w:before="0" w:beforeLines="0"/>
              <w:ind w:firstLine="0" w:firstLineChars="0"/>
              <w:textAlignment w:val="center"/>
              <w:rPr>
                <w:rFonts w:hint="eastAsia" w:cs="宋体"/>
                <w:color w:val="000000"/>
                <w:kern w:val="0"/>
                <w:sz w:val="18"/>
                <w:szCs w:val="18"/>
                <w:lang w:bidi="ar"/>
              </w:rPr>
            </w:pPr>
          </w:p>
        </w:tc>
        <w:tc>
          <w:tcPr>
            <w:tcW w:w="1979" w:type="pct"/>
            <w:tcBorders>
              <w:top w:val="single" w:color="auto" w:sz="4" w:space="0"/>
              <w:left w:val="single" w:color="auto" w:sz="4" w:space="0"/>
              <w:bottom w:val="single" w:color="auto" w:sz="4" w:space="0"/>
              <w:right w:val="single" w:color="auto" w:sz="4" w:space="0"/>
            </w:tcBorders>
            <w:noWrap/>
            <w:vAlign w:val="center"/>
          </w:tcPr>
          <w:p w14:paraId="7CFF3862">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水土保持率</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172D86D1">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7F93A7D2">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61AA10F4">
            <w:pPr>
              <w:widowControl/>
              <w:spacing w:before="0" w:beforeLines="0"/>
              <w:ind w:firstLine="0" w:firstLineChars="0"/>
              <w:textAlignment w:val="center"/>
              <w:rPr>
                <w:rFonts w:hint="eastAsia" w:cs="宋体"/>
                <w:color w:val="000000"/>
                <w:kern w:val="0"/>
                <w:sz w:val="18"/>
                <w:szCs w:val="18"/>
                <w:lang w:bidi="ar"/>
              </w:rPr>
            </w:pPr>
          </w:p>
        </w:tc>
      </w:tr>
      <w:tr w14:paraId="32804018">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35DE83FF">
            <w:pPr>
              <w:widowControl/>
              <w:spacing w:before="0" w:beforeLines="0"/>
              <w:ind w:firstLine="0" w:firstLineChars="0"/>
              <w:textAlignment w:val="center"/>
              <w:rPr>
                <w:rFonts w:hint="eastAsia" w:cs="宋体"/>
                <w:color w:val="000000"/>
                <w:kern w:val="0"/>
                <w:sz w:val="18"/>
                <w:szCs w:val="18"/>
                <w:lang w:bidi="ar"/>
              </w:rPr>
            </w:pPr>
          </w:p>
        </w:tc>
        <w:tc>
          <w:tcPr>
            <w:tcW w:w="570" w:type="pct"/>
            <w:vMerge w:val="continue"/>
            <w:tcBorders>
              <w:left w:val="single" w:color="auto" w:sz="4" w:space="0"/>
              <w:right w:val="single" w:color="auto" w:sz="4" w:space="0"/>
            </w:tcBorders>
            <w:vAlign w:val="center"/>
          </w:tcPr>
          <w:p w14:paraId="01319881">
            <w:pPr>
              <w:widowControl/>
              <w:spacing w:before="0" w:beforeLines="0"/>
              <w:ind w:firstLine="0" w:firstLineChars="0"/>
              <w:textAlignment w:val="center"/>
              <w:rPr>
                <w:rFonts w:hint="eastAsia" w:cs="宋体"/>
                <w:color w:val="000000"/>
                <w:kern w:val="0"/>
                <w:sz w:val="18"/>
                <w:szCs w:val="18"/>
                <w:lang w:bidi="ar"/>
              </w:rPr>
            </w:pPr>
          </w:p>
        </w:tc>
        <w:tc>
          <w:tcPr>
            <w:tcW w:w="1979" w:type="pct"/>
            <w:tcBorders>
              <w:top w:val="single" w:color="auto" w:sz="4" w:space="0"/>
              <w:left w:val="single" w:color="auto" w:sz="4" w:space="0"/>
              <w:bottom w:val="single" w:color="auto" w:sz="4" w:space="0"/>
              <w:right w:val="single" w:color="auto" w:sz="4" w:space="0"/>
            </w:tcBorders>
            <w:noWrap/>
            <w:vAlign w:val="center"/>
          </w:tcPr>
          <w:p w14:paraId="51065AAA">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湿地保护率</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76994B7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25032BB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03D19608">
            <w:pPr>
              <w:widowControl/>
              <w:spacing w:before="0" w:beforeLines="0"/>
              <w:ind w:firstLine="0" w:firstLineChars="0"/>
              <w:textAlignment w:val="center"/>
              <w:rPr>
                <w:rFonts w:hint="eastAsia" w:cs="宋体"/>
                <w:color w:val="000000"/>
                <w:kern w:val="0"/>
                <w:sz w:val="18"/>
                <w:szCs w:val="18"/>
                <w:lang w:bidi="ar"/>
              </w:rPr>
            </w:pPr>
          </w:p>
        </w:tc>
      </w:tr>
      <w:tr w14:paraId="144BDC17">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4FCF7580">
            <w:pPr>
              <w:widowControl/>
              <w:spacing w:before="0" w:beforeLines="0"/>
              <w:ind w:firstLine="0" w:firstLineChars="0"/>
              <w:textAlignment w:val="center"/>
              <w:rPr>
                <w:rFonts w:hint="eastAsia" w:cs="宋体"/>
                <w:color w:val="000000"/>
                <w:kern w:val="0"/>
                <w:sz w:val="18"/>
                <w:szCs w:val="18"/>
                <w:lang w:bidi="ar"/>
              </w:rPr>
            </w:pPr>
          </w:p>
        </w:tc>
        <w:tc>
          <w:tcPr>
            <w:tcW w:w="570" w:type="pct"/>
            <w:vMerge w:val="continue"/>
            <w:tcBorders>
              <w:left w:val="single" w:color="auto" w:sz="4" w:space="0"/>
              <w:right w:val="single" w:color="auto" w:sz="4" w:space="0"/>
            </w:tcBorders>
            <w:vAlign w:val="center"/>
          </w:tcPr>
          <w:p w14:paraId="46EF6052">
            <w:pPr>
              <w:widowControl/>
              <w:spacing w:before="0" w:beforeLines="0"/>
              <w:ind w:firstLine="0" w:firstLineChars="0"/>
              <w:textAlignment w:val="center"/>
              <w:rPr>
                <w:rFonts w:hint="eastAsia" w:cs="宋体"/>
                <w:color w:val="000000"/>
                <w:kern w:val="0"/>
                <w:sz w:val="18"/>
                <w:szCs w:val="18"/>
                <w:lang w:bidi="ar"/>
              </w:rPr>
            </w:pPr>
          </w:p>
        </w:tc>
        <w:tc>
          <w:tcPr>
            <w:tcW w:w="1979" w:type="pct"/>
            <w:tcBorders>
              <w:top w:val="single" w:color="auto" w:sz="4" w:space="0"/>
              <w:left w:val="single" w:color="auto" w:sz="4" w:space="0"/>
              <w:bottom w:val="single" w:color="auto" w:sz="4" w:space="0"/>
              <w:right w:val="single" w:color="auto" w:sz="4" w:space="0"/>
            </w:tcBorders>
            <w:noWrap/>
            <w:vAlign w:val="center"/>
          </w:tcPr>
          <w:p w14:paraId="06D3A08E">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绿色矿山建设比例</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3EECF547">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0D1B71DB">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10B8738D">
            <w:pPr>
              <w:widowControl/>
              <w:spacing w:before="0" w:beforeLines="0"/>
              <w:ind w:firstLine="0" w:firstLineChars="0"/>
              <w:textAlignment w:val="center"/>
              <w:rPr>
                <w:rFonts w:hint="eastAsia" w:cs="宋体"/>
                <w:color w:val="000000"/>
                <w:kern w:val="0"/>
                <w:sz w:val="18"/>
                <w:szCs w:val="18"/>
                <w:lang w:bidi="ar"/>
              </w:rPr>
            </w:pPr>
          </w:p>
        </w:tc>
      </w:tr>
      <w:tr w14:paraId="46B5DF0F">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717E228F">
            <w:pPr>
              <w:widowControl/>
              <w:spacing w:before="0" w:beforeLines="0"/>
              <w:ind w:firstLine="0" w:firstLineChars="0"/>
              <w:textAlignment w:val="center"/>
              <w:rPr>
                <w:rFonts w:hint="eastAsia" w:cs="宋体"/>
                <w:color w:val="000000"/>
                <w:kern w:val="0"/>
                <w:sz w:val="18"/>
                <w:szCs w:val="18"/>
                <w:lang w:bidi="ar"/>
              </w:rPr>
            </w:pPr>
          </w:p>
        </w:tc>
        <w:tc>
          <w:tcPr>
            <w:tcW w:w="570" w:type="pct"/>
            <w:vMerge w:val="continue"/>
            <w:tcBorders>
              <w:left w:val="single" w:color="auto" w:sz="4" w:space="0"/>
              <w:bottom w:val="single" w:color="auto" w:sz="4" w:space="0"/>
              <w:right w:val="single" w:color="auto" w:sz="4" w:space="0"/>
            </w:tcBorders>
            <w:vAlign w:val="center"/>
          </w:tcPr>
          <w:p w14:paraId="7DE38850">
            <w:pPr>
              <w:widowControl/>
              <w:spacing w:before="0" w:beforeLines="0"/>
              <w:ind w:firstLine="0" w:firstLineChars="0"/>
              <w:textAlignment w:val="center"/>
              <w:rPr>
                <w:rFonts w:hint="eastAsia" w:cs="宋体"/>
                <w:color w:val="000000"/>
                <w:kern w:val="0"/>
                <w:sz w:val="18"/>
                <w:szCs w:val="18"/>
                <w:lang w:bidi="ar"/>
              </w:rPr>
            </w:pPr>
          </w:p>
        </w:tc>
        <w:tc>
          <w:tcPr>
            <w:tcW w:w="1979" w:type="pct"/>
            <w:tcBorders>
              <w:top w:val="single" w:color="auto" w:sz="4" w:space="0"/>
              <w:left w:val="single" w:color="auto" w:sz="4" w:space="0"/>
              <w:bottom w:val="single" w:color="auto" w:sz="4" w:space="0"/>
              <w:right w:val="single" w:color="auto" w:sz="4" w:space="0"/>
            </w:tcBorders>
            <w:noWrap/>
            <w:vAlign w:val="center"/>
          </w:tcPr>
          <w:p w14:paraId="6D1C9042">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7C68D406">
            <w:pPr>
              <w:widowControl/>
              <w:spacing w:before="0" w:beforeLines="0"/>
              <w:ind w:firstLine="0" w:firstLineChars="0"/>
              <w:textAlignment w:val="center"/>
              <w:rPr>
                <w:rFonts w:hint="eastAsia" w:cs="宋体"/>
                <w:color w:val="000000"/>
                <w:kern w:val="0"/>
                <w:sz w:val="18"/>
                <w:szCs w:val="18"/>
                <w:lang w:bidi="ar"/>
              </w:rPr>
            </w:pP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7606B57B">
            <w:pPr>
              <w:widowControl/>
              <w:spacing w:before="0" w:beforeLines="0"/>
              <w:ind w:firstLine="0" w:firstLineChars="0"/>
              <w:textAlignment w:val="center"/>
              <w:rPr>
                <w:rFonts w:hint="eastAsia" w:cs="宋体"/>
                <w:color w:val="000000"/>
                <w:kern w:val="0"/>
                <w:sz w:val="18"/>
                <w:szCs w:val="18"/>
                <w:lang w:bidi="ar"/>
              </w:rPr>
            </w:pP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30E2F9A9">
            <w:pPr>
              <w:widowControl/>
              <w:spacing w:before="0" w:beforeLines="0"/>
              <w:ind w:firstLine="0" w:firstLineChars="0"/>
              <w:textAlignment w:val="center"/>
              <w:rPr>
                <w:rFonts w:hint="eastAsia" w:cs="宋体"/>
                <w:color w:val="000000"/>
                <w:kern w:val="0"/>
                <w:sz w:val="18"/>
                <w:szCs w:val="18"/>
                <w:lang w:bidi="ar"/>
              </w:rPr>
            </w:pPr>
          </w:p>
        </w:tc>
      </w:tr>
      <w:tr w14:paraId="5AC362E6">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5578D6EE">
            <w:pPr>
              <w:widowControl/>
              <w:spacing w:before="0" w:beforeLines="0"/>
              <w:ind w:firstLine="0" w:firstLineChars="0"/>
              <w:rPr>
                <w:rFonts w:hint="eastAsia" w:cs="宋体"/>
                <w:color w:val="000000"/>
                <w:sz w:val="18"/>
                <w:szCs w:val="18"/>
              </w:rPr>
            </w:pPr>
          </w:p>
        </w:tc>
        <w:tc>
          <w:tcPr>
            <w:tcW w:w="570" w:type="pct"/>
            <w:vMerge w:val="restart"/>
            <w:tcBorders>
              <w:top w:val="single" w:color="auto" w:sz="4" w:space="0"/>
              <w:left w:val="single" w:color="auto" w:sz="4" w:space="0"/>
              <w:right w:val="single" w:color="auto" w:sz="4" w:space="0"/>
            </w:tcBorders>
            <w:vAlign w:val="center"/>
          </w:tcPr>
          <w:p w14:paraId="0A54E636">
            <w:pPr>
              <w:widowControl/>
              <w:spacing w:before="0" w:beforeLines="0"/>
              <w:ind w:firstLine="0" w:firstLineChars="0"/>
              <w:rPr>
                <w:rFonts w:hint="eastAsia" w:cs="宋体"/>
                <w:color w:val="000000"/>
                <w:sz w:val="18"/>
                <w:szCs w:val="18"/>
              </w:rPr>
            </w:pPr>
            <w:r>
              <w:rPr>
                <w:rFonts w:hint="eastAsia" w:cs="宋体"/>
                <w:color w:val="000000"/>
                <w:sz w:val="18"/>
                <w:szCs w:val="18"/>
              </w:rPr>
              <w:t>生态保护</w:t>
            </w:r>
          </w:p>
        </w:tc>
        <w:tc>
          <w:tcPr>
            <w:tcW w:w="1979" w:type="pct"/>
            <w:tcBorders>
              <w:top w:val="single" w:color="auto" w:sz="4" w:space="0"/>
              <w:left w:val="single" w:color="auto" w:sz="4" w:space="0"/>
              <w:bottom w:val="single" w:color="auto" w:sz="4" w:space="0"/>
              <w:right w:val="single" w:color="auto" w:sz="4" w:space="0"/>
            </w:tcBorders>
            <w:vAlign w:val="center"/>
          </w:tcPr>
          <w:p w14:paraId="4F07A761">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永久基本农田面积</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22FC4EA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714EAE6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1260B47E">
            <w:pPr>
              <w:widowControl/>
              <w:spacing w:before="0" w:beforeLines="0"/>
              <w:ind w:firstLine="0" w:firstLineChars="0"/>
              <w:textAlignment w:val="center"/>
              <w:rPr>
                <w:rFonts w:hint="eastAsia" w:cs="宋体"/>
                <w:color w:val="000000"/>
                <w:kern w:val="0"/>
                <w:sz w:val="18"/>
                <w:szCs w:val="18"/>
                <w:lang w:bidi="ar"/>
              </w:rPr>
            </w:pPr>
          </w:p>
        </w:tc>
      </w:tr>
      <w:tr w14:paraId="1CD3BFC0">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20FB21FE">
            <w:pPr>
              <w:widowControl/>
              <w:spacing w:before="0" w:beforeLines="0"/>
              <w:ind w:firstLine="0" w:firstLineChars="0"/>
              <w:rPr>
                <w:rFonts w:hint="eastAsia" w:cs="宋体"/>
                <w:color w:val="000000"/>
                <w:sz w:val="18"/>
                <w:szCs w:val="18"/>
              </w:rPr>
            </w:pPr>
          </w:p>
        </w:tc>
        <w:tc>
          <w:tcPr>
            <w:tcW w:w="570" w:type="pct"/>
            <w:vMerge w:val="continue"/>
            <w:tcBorders>
              <w:left w:val="single" w:color="auto" w:sz="4" w:space="0"/>
              <w:right w:val="single" w:color="auto" w:sz="4" w:space="0"/>
            </w:tcBorders>
            <w:vAlign w:val="center"/>
          </w:tcPr>
          <w:p w14:paraId="09AD318C">
            <w:pPr>
              <w:widowControl/>
              <w:spacing w:before="0" w:beforeLines="0"/>
              <w:ind w:firstLine="0" w:firstLineChars="0"/>
              <w:rPr>
                <w:rFonts w:hint="eastAsia" w:cs="宋体"/>
                <w:color w:val="000000"/>
                <w:sz w:val="18"/>
                <w:szCs w:val="18"/>
              </w:rPr>
            </w:pPr>
          </w:p>
        </w:tc>
        <w:tc>
          <w:tcPr>
            <w:tcW w:w="1979" w:type="pct"/>
            <w:tcBorders>
              <w:top w:val="single" w:color="auto" w:sz="4" w:space="0"/>
              <w:left w:val="single" w:color="auto" w:sz="4" w:space="0"/>
              <w:bottom w:val="single" w:color="auto" w:sz="4" w:space="0"/>
              <w:right w:val="single" w:color="auto" w:sz="4" w:space="0"/>
            </w:tcBorders>
            <w:noWrap/>
            <w:vAlign w:val="center"/>
          </w:tcPr>
          <w:p w14:paraId="663EDD7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耕地保有量</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7A8468C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03B474C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12EE2690">
            <w:pPr>
              <w:widowControl/>
              <w:spacing w:before="0" w:beforeLines="0"/>
              <w:ind w:firstLine="0" w:firstLineChars="0"/>
              <w:textAlignment w:val="center"/>
              <w:rPr>
                <w:rFonts w:hint="eastAsia" w:cs="宋体"/>
                <w:color w:val="000000"/>
                <w:kern w:val="0"/>
                <w:sz w:val="18"/>
                <w:szCs w:val="18"/>
                <w:lang w:bidi="ar"/>
              </w:rPr>
            </w:pPr>
          </w:p>
        </w:tc>
      </w:tr>
      <w:tr w14:paraId="5016300D">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64C43ED2">
            <w:pPr>
              <w:widowControl/>
              <w:spacing w:before="0" w:beforeLines="0"/>
              <w:ind w:firstLine="0" w:firstLineChars="0"/>
              <w:rPr>
                <w:rFonts w:hint="eastAsia" w:cs="宋体"/>
                <w:color w:val="000000"/>
                <w:sz w:val="18"/>
                <w:szCs w:val="18"/>
              </w:rPr>
            </w:pPr>
          </w:p>
        </w:tc>
        <w:tc>
          <w:tcPr>
            <w:tcW w:w="570" w:type="pct"/>
            <w:vMerge w:val="continue"/>
            <w:tcBorders>
              <w:left w:val="single" w:color="auto" w:sz="4" w:space="0"/>
              <w:right w:val="single" w:color="auto" w:sz="4" w:space="0"/>
            </w:tcBorders>
            <w:vAlign w:val="center"/>
          </w:tcPr>
          <w:p w14:paraId="05208FB0">
            <w:pPr>
              <w:widowControl/>
              <w:spacing w:before="0" w:beforeLines="0"/>
              <w:ind w:firstLine="0" w:firstLineChars="0"/>
              <w:rPr>
                <w:rFonts w:hint="eastAsia" w:cs="宋体"/>
                <w:color w:val="000000"/>
                <w:sz w:val="18"/>
                <w:szCs w:val="18"/>
              </w:rPr>
            </w:pPr>
          </w:p>
        </w:tc>
        <w:tc>
          <w:tcPr>
            <w:tcW w:w="1979" w:type="pct"/>
            <w:tcBorders>
              <w:top w:val="single" w:color="auto" w:sz="4" w:space="0"/>
              <w:left w:val="single" w:color="auto" w:sz="4" w:space="0"/>
              <w:bottom w:val="single" w:color="auto" w:sz="4" w:space="0"/>
              <w:right w:val="single" w:color="auto" w:sz="4" w:space="0"/>
            </w:tcBorders>
            <w:noWrap/>
            <w:vAlign w:val="center"/>
          </w:tcPr>
          <w:p w14:paraId="02488EA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林地保有量</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3ECAD161">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7364FBC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515EE07D">
            <w:pPr>
              <w:widowControl/>
              <w:spacing w:before="0" w:beforeLines="0"/>
              <w:ind w:firstLine="0" w:firstLineChars="0"/>
              <w:textAlignment w:val="center"/>
              <w:rPr>
                <w:rFonts w:hint="eastAsia" w:cs="宋体"/>
                <w:color w:val="000000"/>
                <w:kern w:val="0"/>
                <w:sz w:val="18"/>
                <w:szCs w:val="18"/>
                <w:lang w:bidi="ar"/>
              </w:rPr>
            </w:pPr>
          </w:p>
        </w:tc>
      </w:tr>
      <w:tr w14:paraId="6FBD5951">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7166F745">
            <w:pPr>
              <w:widowControl/>
              <w:spacing w:before="0" w:beforeLines="0"/>
              <w:ind w:firstLine="0" w:firstLineChars="0"/>
              <w:rPr>
                <w:rFonts w:hint="eastAsia" w:cs="宋体"/>
                <w:color w:val="000000"/>
                <w:sz w:val="18"/>
                <w:szCs w:val="18"/>
              </w:rPr>
            </w:pPr>
          </w:p>
        </w:tc>
        <w:tc>
          <w:tcPr>
            <w:tcW w:w="570" w:type="pct"/>
            <w:vMerge w:val="continue"/>
            <w:tcBorders>
              <w:left w:val="single" w:color="auto" w:sz="4" w:space="0"/>
              <w:right w:val="single" w:color="auto" w:sz="4" w:space="0"/>
            </w:tcBorders>
            <w:vAlign w:val="center"/>
          </w:tcPr>
          <w:p w14:paraId="422FBF1C">
            <w:pPr>
              <w:widowControl/>
              <w:spacing w:before="0" w:beforeLines="0"/>
              <w:ind w:firstLine="0" w:firstLineChars="0"/>
              <w:rPr>
                <w:rFonts w:hint="eastAsia" w:cs="宋体"/>
                <w:color w:val="000000"/>
                <w:sz w:val="18"/>
                <w:szCs w:val="18"/>
              </w:rPr>
            </w:pPr>
          </w:p>
        </w:tc>
        <w:tc>
          <w:tcPr>
            <w:tcW w:w="1979" w:type="pct"/>
            <w:tcBorders>
              <w:top w:val="single" w:color="auto" w:sz="4" w:space="0"/>
              <w:left w:val="single" w:color="auto" w:sz="4" w:space="0"/>
              <w:bottom w:val="single" w:color="auto" w:sz="4" w:space="0"/>
              <w:right w:val="single" w:color="auto" w:sz="4" w:space="0"/>
            </w:tcBorders>
            <w:noWrap/>
            <w:vAlign w:val="center"/>
          </w:tcPr>
          <w:p w14:paraId="2EAE116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基本草原面积</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2A634A5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534CCB7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3AD68147">
            <w:pPr>
              <w:widowControl/>
              <w:spacing w:before="0" w:beforeLines="0"/>
              <w:ind w:firstLine="0" w:firstLineChars="0"/>
              <w:textAlignment w:val="center"/>
              <w:rPr>
                <w:rFonts w:hint="eastAsia" w:cs="宋体"/>
                <w:color w:val="000000"/>
                <w:kern w:val="0"/>
                <w:sz w:val="18"/>
                <w:szCs w:val="18"/>
                <w:lang w:bidi="ar"/>
              </w:rPr>
            </w:pPr>
          </w:p>
        </w:tc>
      </w:tr>
      <w:tr w14:paraId="20776969">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5F67EED5">
            <w:pPr>
              <w:widowControl/>
              <w:spacing w:before="0" w:beforeLines="0"/>
              <w:ind w:firstLine="0" w:firstLineChars="0"/>
              <w:rPr>
                <w:rFonts w:hint="eastAsia" w:cs="宋体"/>
                <w:color w:val="000000"/>
                <w:sz w:val="18"/>
                <w:szCs w:val="18"/>
              </w:rPr>
            </w:pPr>
          </w:p>
        </w:tc>
        <w:tc>
          <w:tcPr>
            <w:tcW w:w="570" w:type="pct"/>
            <w:vMerge w:val="continue"/>
            <w:tcBorders>
              <w:left w:val="single" w:color="auto" w:sz="4" w:space="0"/>
              <w:right w:val="single" w:color="auto" w:sz="4" w:space="0"/>
            </w:tcBorders>
            <w:vAlign w:val="center"/>
          </w:tcPr>
          <w:p w14:paraId="251CBDA8">
            <w:pPr>
              <w:widowControl/>
              <w:spacing w:before="0" w:beforeLines="0"/>
              <w:ind w:firstLine="0" w:firstLineChars="0"/>
              <w:rPr>
                <w:rFonts w:hint="eastAsia" w:cs="宋体"/>
                <w:color w:val="000000"/>
                <w:sz w:val="18"/>
                <w:szCs w:val="18"/>
              </w:rPr>
            </w:pPr>
          </w:p>
        </w:tc>
        <w:tc>
          <w:tcPr>
            <w:tcW w:w="1979" w:type="pct"/>
            <w:tcBorders>
              <w:top w:val="single" w:color="auto" w:sz="4" w:space="0"/>
              <w:left w:val="single" w:color="auto" w:sz="4" w:space="0"/>
              <w:bottom w:val="single" w:color="auto" w:sz="4" w:space="0"/>
              <w:right w:val="single" w:color="auto" w:sz="4" w:space="0"/>
            </w:tcBorders>
            <w:noWrap/>
            <w:vAlign w:val="center"/>
          </w:tcPr>
          <w:p w14:paraId="06194DDF">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湿地面积</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3165FA1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5E43ED2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06DEEEE0">
            <w:pPr>
              <w:widowControl/>
              <w:spacing w:before="0" w:beforeLines="0"/>
              <w:ind w:firstLine="0" w:firstLineChars="0"/>
              <w:textAlignment w:val="center"/>
              <w:rPr>
                <w:rFonts w:hint="eastAsia" w:cs="宋体"/>
                <w:color w:val="000000"/>
                <w:kern w:val="0"/>
                <w:sz w:val="18"/>
                <w:szCs w:val="18"/>
                <w:lang w:bidi="ar"/>
              </w:rPr>
            </w:pPr>
          </w:p>
        </w:tc>
      </w:tr>
      <w:tr w14:paraId="7E441EFF">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11132959">
            <w:pPr>
              <w:widowControl/>
              <w:spacing w:before="0" w:beforeLines="0"/>
              <w:ind w:firstLine="0" w:firstLineChars="0"/>
              <w:rPr>
                <w:rFonts w:hint="eastAsia" w:cs="宋体"/>
                <w:color w:val="000000"/>
                <w:sz w:val="18"/>
                <w:szCs w:val="18"/>
              </w:rPr>
            </w:pPr>
          </w:p>
        </w:tc>
        <w:tc>
          <w:tcPr>
            <w:tcW w:w="570" w:type="pct"/>
            <w:vMerge w:val="continue"/>
            <w:tcBorders>
              <w:left w:val="single" w:color="auto" w:sz="4" w:space="0"/>
              <w:right w:val="single" w:color="auto" w:sz="4" w:space="0"/>
            </w:tcBorders>
            <w:vAlign w:val="center"/>
          </w:tcPr>
          <w:p w14:paraId="090FA1E2">
            <w:pPr>
              <w:widowControl/>
              <w:spacing w:before="0" w:beforeLines="0"/>
              <w:ind w:firstLine="0" w:firstLineChars="0"/>
              <w:rPr>
                <w:rFonts w:hint="eastAsia" w:cs="宋体"/>
                <w:color w:val="000000"/>
                <w:sz w:val="18"/>
                <w:szCs w:val="18"/>
              </w:rPr>
            </w:pPr>
          </w:p>
        </w:tc>
        <w:tc>
          <w:tcPr>
            <w:tcW w:w="1979" w:type="pct"/>
            <w:tcBorders>
              <w:top w:val="single" w:color="auto" w:sz="4" w:space="0"/>
              <w:left w:val="single" w:color="auto" w:sz="4" w:space="0"/>
              <w:bottom w:val="single" w:color="auto" w:sz="4" w:space="0"/>
              <w:right w:val="single" w:color="auto" w:sz="4" w:space="0"/>
            </w:tcBorders>
            <w:noWrap/>
            <w:vAlign w:val="center"/>
          </w:tcPr>
          <w:p w14:paraId="5D94869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自然岸线保有率(大陆自然海岸线、重要河湖自然岸线</w:t>
            </w:r>
            <w:r>
              <w:rPr>
                <w:rFonts w:hint="eastAsia" w:cs="宋体"/>
                <w:color w:val="000000"/>
                <w:kern w:val="0"/>
                <w:sz w:val="18"/>
                <w:szCs w:val="18"/>
                <w:lang w:eastAsia="zh-CN" w:bidi="ar"/>
              </w:rPr>
              <w:t>）</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5E8B6D0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6B160D6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650D496E">
            <w:pPr>
              <w:widowControl/>
              <w:spacing w:before="0" w:beforeLines="0"/>
              <w:ind w:firstLine="0" w:firstLineChars="0"/>
              <w:textAlignment w:val="center"/>
              <w:rPr>
                <w:rFonts w:hint="eastAsia" w:cs="宋体"/>
                <w:color w:val="000000"/>
                <w:kern w:val="0"/>
                <w:sz w:val="18"/>
                <w:szCs w:val="18"/>
                <w:lang w:bidi="ar"/>
              </w:rPr>
            </w:pPr>
          </w:p>
        </w:tc>
      </w:tr>
      <w:tr w14:paraId="45F0B927">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72B375CE">
            <w:pPr>
              <w:widowControl/>
              <w:spacing w:before="0" w:beforeLines="0"/>
              <w:ind w:firstLine="0" w:firstLineChars="0"/>
              <w:rPr>
                <w:rFonts w:hint="eastAsia" w:cs="宋体"/>
                <w:color w:val="000000"/>
                <w:sz w:val="18"/>
                <w:szCs w:val="18"/>
              </w:rPr>
            </w:pPr>
          </w:p>
        </w:tc>
        <w:tc>
          <w:tcPr>
            <w:tcW w:w="570" w:type="pct"/>
            <w:vMerge w:val="continue"/>
            <w:tcBorders>
              <w:left w:val="single" w:color="auto" w:sz="4" w:space="0"/>
              <w:right w:val="single" w:color="auto" w:sz="4" w:space="0"/>
            </w:tcBorders>
            <w:vAlign w:val="center"/>
          </w:tcPr>
          <w:p w14:paraId="658508DD">
            <w:pPr>
              <w:widowControl/>
              <w:spacing w:before="0" w:beforeLines="0"/>
              <w:ind w:firstLine="0" w:firstLineChars="0"/>
              <w:rPr>
                <w:rFonts w:hint="eastAsia" w:cs="宋体"/>
                <w:color w:val="000000"/>
                <w:sz w:val="18"/>
                <w:szCs w:val="18"/>
              </w:rPr>
            </w:pPr>
          </w:p>
        </w:tc>
        <w:tc>
          <w:tcPr>
            <w:tcW w:w="1979" w:type="pct"/>
            <w:tcBorders>
              <w:top w:val="single" w:color="auto" w:sz="4" w:space="0"/>
              <w:left w:val="nil"/>
              <w:bottom w:val="single" w:color="000000" w:sz="4" w:space="0"/>
              <w:right w:val="single" w:color="000000" w:sz="4" w:space="0"/>
            </w:tcBorders>
            <w:noWrap/>
            <w:vAlign w:val="center"/>
          </w:tcPr>
          <w:p w14:paraId="0FF201ED">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集中式饮用水源地水质达标率</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0D6687BE">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1997898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389D0733">
            <w:pPr>
              <w:widowControl/>
              <w:spacing w:before="0" w:beforeLines="0"/>
              <w:ind w:firstLine="0" w:firstLineChars="0"/>
              <w:textAlignment w:val="center"/>
              <w:rPr>
                <w:rFonts w:hint="eastAsia" w:cs="宋体"/>
                <w:color w:val="000000"/>
                <w:kern w:val="0"/>
                <w:sz w:val="18"/>
                <w:szCs w:val="18"/>
                <w:lang w:bidi="ar"/>
              </w:rPr>
            </w:pPr>
          </w:p>
        </w:tc>
      </w:tr>
      <w:tr w14:paraId="5B22AF8D">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6D9F13DC">
            <w:pPr>
              <w:widowControl/>
              <w:spacing w:before="0" w:beforeLines="0"/>
              <w:ind w:firstLine="0" w:firstLineChars="0"/>
              <w:rPr>
                <w:rFonts w:hint="eastAsia" w:cs="宋体"/>
                <w:color w:val="000000"/>
                <w:sz w:val="18"/>
                <w:szCs w:val="18"/>
              </w:rPr>
            </w:pPr>
          </w:p>
        </w:tc>
        <w:tc>
          <w:tcPr>
            <w:tcW w:w="570" w:type="pct"/>
            <w:vMerge w:val="continue"/>
            <w:tcBorders>
              <w:left w:val="single" w:color="auto" w:sz="4" w:space="0"/>
              <w:right w:val="single" w:color="auto" w:sz="4" w:space="0"/>
            </w:tcBorders>
            <w:vAlign w:val="center"/>
          </w:tcPr>
          <w:p w14:paraId="083E9612">
            <w:pPr>
              <w:widowControl/>
              <w:spacing w:before="0" w:beforeLines="0"/>
              <w:ind w:firstLine="0" w:firstLineChars="0"/>
              <w:rPr>
                <w:rFonts w:hint="eastAsia" w:cs="宋体"/>
                <w:color w:val="000000"/>
                <w:sz w:val="18"/>
                <w:szCs w:val="18"/>
              </w:rPr>
            </w:pPr>
          </w:p>
        </w:tc>
        <w:tc>
          <w:tcPr>
            <w:tcW w:w="1979" w:type="pct"/>
            <w:tcBorders>
              <w:top w:val="single" w:color="000000" w:sz="4" w:space="0"/>
              <w:left w:val="nil"/>
              <w:bottom w:val="single" w:color="000000" w:sz="4" w:space="0"/>
              <w:right w:val="single" w:color="000000" w:sz="4" w:space="0"/>
            </w:tcBorders>
            <w:noWrap/>
            <w:vAlign w:val="center"/>
          </w:tcPr>
          <w:p w14:paraId="61A4CB5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地表水国控断面水质优良率</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5310169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约束性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6BB9A191">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37E94422">
            <w:pPr>
              <w:widowControl/>
              <w:spacing w:before="0" w:beforeLines="0"/>
              <w:ind w:firstLine="0" w:firstLineChars="0"/>
              <w:textAlignment w:val="center"/>
              <w:rPr>
                <w:rFonts w:hint="eastAsia" w:cs="宋体"/>
                <w:color w:val="000000"/>
                <w:kern w:val="0"/>
                <w:sz w:val="18"/>
                <w:szCs w:val="18"/>
                <w:lang w:bidi="ar"/>
              </w:rPr>
            </w:pPr>
          </w:p>
        </w:tc>
      </w:tr>
      <w:tr w14:paraId="0E7CBDF7">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0C36F852">
            <w:pPr>
              <w:widowControl/>
              <w:spacing w:before="0" w:beforeLines="0"/>
              <w:ind w:firstLine="0" w:firstLineChars="0"/>
              <w:rPr>
                <w:rFonts w:hint="eastAsia" w:cs="宋体"/>
                <w:color w:val="000000"/>
                <w:sz w:val="18"/>
                <w:szCs w:val="18"/>
              </w:rPr>
            </w:pPr>
          </w:p>
        </w:tc>
        <w:tc>
          <w:tcPr>
            <w:tcW w:w="570" w:type="pct"/>
            <w:vMerge w:val="continue"/>
            <w:tcBorders>
              <w:left w:val="single" w:color="auto" w:sz="4" w:space="0"/>
              <w:bottom w:val="single" w:color="auto" w:sz="4" w:space="0"/>
              <w:right w:val="single" w:color="auto" w:sz="4" w:space="0"/>
            </w:tcBorders>
            <w:vAlign w:val="center"/>
          </w:tcPr>
          <w:p w14:paraId="55812B8E">
            <w:pPr>
              <w:widowControl/>
              <w:spacing w:before="0" w:beforeLines="0"/>
              <w:ind w:firstLine="0" w:firstLineChars="0"/>
              <w:rPr>
                <w:rFonts w:hint="eastAsia" w:cs="宋体"/>
                <w:color w:val="000000"/>
                <w:sz w:val="18"/>
                <w:szCs w:val="18"/>
              </w:rPr>
            </w:pPr>
          </w:p>
        </w:tc>
        <w:tc>
          <w:tcPr>
            <w:tcW w:w="1979" w:type="pct"/>
            <w:tcBorders>
              <w:top w:val="single" w:color="000000" w:sz="4" w:space="0"/>
              <w:left w:val="nil"/>
              <w:bottom w:val="single" w:color="000000" w:sz="4" w:space="0"/>
              <w:right w:val="single" w:color="000000" w:sz="4" w:space="0"/>
            </w:tcBorders>
            <w:noWrap/>
            <w:vAlign w:val="center"/>
          </w:tcPr>
          <w:p w14:paraId="3AF548AE">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7FBCB510">
            <w:pPr>
              <w:widowControl/>
              <w:spacing w:before="0" w:beforeLines="0"/>
              <w:ind w:firstLine="0" w:firstLineChars="0"/>
              <w:textAlignment w:val="center"/>
              <w:rPr>
                <w:rFonts w:hint="eastAsia" w:cs="宋体"/>
                <w:color w:val="000000"/>
                <w:kern w:val="0"/>
                <w:sz w:val="18"/>
                <w:szCs w:val="18"/>
                <w:lang w:bidi="ar"/>
              </w:rPr>
            </w:pP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3FC82246">
            <w:pPr>
              <w:widowControl/>
              <w:spacing w:before="0" w:beforeLines="0"/>
              <w:ind w:firstLine="0" w:firstLineChars="0"/>
              <w:textAlignment w:val="center"/>
              <w:rPr>
                <w:rFonts w:hint="eastAsia" w:cs="宋体"/>
                <w:color w:val="000000"/>
                <w:kern w:val="0"/>
                <w:sz w:val="18"/>
                <w:szCs w:val="18"/>
                <w:lang w:bidi="ar"/>
              </w:rPr>
            </w:pP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5F6EFC1C">
            <w:pPr>
              <w:widowControl/>
              <w:spacing w:before="0" w:beforeLines="0"/>
              <w:ind w:firstLine="0" w:firstLineChars="0"/>
              <w:textAlignment w:val="center"/>
              <w:rPr>
                <w:rFonts w:hint="eastAsia" w:cs="宋体"/>
                <w:color w:val="000000"/>
                <w:kern w:val="0"/>
                <w:sz w:val="18"/>
                <w:szCs w:val="18"/>
                <w:lang w:bidi="ar"/>
              </w:rPr>
            </w:pPr>
          </w:p>
        </w:tc>
      </w:tr>
      <w:tr w14:paraId="64A247A0">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646F036C">
            <w:pPr>
              <w:widowControl/>
              <w:spacing w:before="0" w:beforeLines="0"/>
              <w:ind w:firstLine="0" w:firstLineChars="0"/>
              <w:rPr>
                <w:rFonts w:hint="eastAsia" w:cs="宋体"/>
                <w:color w:val="000000"/>
                <w:sz w:val="18"/>
                <w:szCs w:val="18"/>
              </w:rPr>
            </w:pPr>
          </w:p>
        </w:tc>
        <w:tc>
          <w:tcPr>
            <w:tcW w:w="570" w:type="pct"/>
            <w:vMerge w:val="restart"/>
            <w:tcBorders>
              <w:top w:val="single" w:color="auto" w:sz="4" w:space="0"/>
              <w:left w:val="single" w:color="auto" w:sz="4" w:space="0"/>
              <w:bottom w:val="single" w:color="auto" w:sz="4" w:space="0"/>
              <w:right w:val="single" w:color="auto" w:sz="4" w:space="0"/>
            </w:tcBorders>
            <w:vAlign w:val="center"/>
          </w:tcPr>
          <w:p w14:paraId="2E575FD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生态修复</w:t>
            </w:r>
          </w:p>
        </w:tc>
        <w:tc>
          <w:tcPr>
            <w:tcW w:w="1979" w:type="pct"/>
            <w:tcBorders>
              <w:top w:val="single" w:color="000000" w:sz="4" w:space="0"/>
              <w:left w:val="nil"/>
              <w:bottom w:val="single" w:color="000000" w:sz="4" w:space="0"/>
              <w:right w:val="single" w:color="000000" w:sz="4" w:space="0"/>
            </w:tcBorders>
            <w:noWrap/>
            <w:vAlign w:val="center"/>
          </w:tcPr>
          <w:p w14:paraId="25153F4A">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生态恢复岸线长度</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46FF7DDB">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约束性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7F25C925">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43C0FE97">
            <w:pPr>
              <w:widowControl/>
              <w:spacing w:before="0" w:beforeLines="0"/>
              <w:ind w:firstLine="0" w:firstLineChars="0"/>
              <w:textAlignment w:val="center"/>
              <w:rPr>
                <w:rFonts w:hint="eastAsia" w:cs="宋体"/>
                <w:color w:val="000000"/>
                <w:kern w:val="0"/>
                <w:sz w:val="18"/>
                <w:szCs w:val="18"/>
                <w:lang w:bidi="ar"/>
              </w:rPr>
            </w:pPr>
          </w:p>
        </w:tc>
      </w:tr>
      <w:tr w14:paraId="12D890BC">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6A807FFE">
            <w:pPr>
              <w:widowControl/>
              <w:spacing w:before="0" w:beforeLines="0"/>
              <w:ind w:firstLine="0" w:firstLineChars="0"/>
              <w:rPr>
                <w:rFonts w:hint="eastAsia" w:cs="宋体"/>
                <w:color w:val="000000"/>
                <w:sz w:val="18"/>
                <w:szCs w:val="18"/>
              </w:rPr>
            </w:pPr>
          </w:p>
        </w:tc>
        <w:tc>
          <w:tcPr>
            <w:tcW w:w="570" w:type="pct"/>
            <w:vMerge w:val="continue"/>
            <w:tcBorders>
              <w:top w:val="single" w:color="auto" w:sz="4" w:space="0"/>
              <w:left w:val="single" w:color="auto" w:sz="4" w:space="0"/>
              <w:bottom w:val="single" w:color="auto" w:sz="4" w:space="0"/>
              <w:right w:val="single" w:color="auto" w:sz="4" w:space="0"/>
            </w:tcBorders>
            <w:vAlign w:val="center"/>
          </w:tcPr>
          <w:p w14:paraId="346A6CB8">
            <w:pPr>
              <w:widowControl/>
              <w:spacing w:before="0" w:beforeLines="0"/>
              <w:ind w:firstLine="0" w:firstLineChars="0"/>
              <w:rPr>
                <w:rFonts w:hint="eastAsia" w:cs="宋体"/>
                <w:color w:val="000000"/>
                <w:sz w:val="18"/>
                <w:szCs w:val="18"/>
              </w:rPr>
            </w:pPr>
          </w:p>
        </w:tc>
        <w:tc>
          <w:tcPr>
            <w:tcW w:w="1979" w:type="pct"/>
            <w:tcBorders>
              <w:top w:val="single" w:color="000000" w:sz="4" w:space="0"/>
              <w:left w:val="nil"/>
              <w:bottom w:val="single" w:color="000000" w:sz="4" w:space="0"/>
              <w:right w:val="single" w:color="000000" w:sz="4" w:space="0"/>
            </w:tcBorders>
            <w:noWrap/>
            <w:vAlign w:val="center"/>
          </w:tcPr>
          <w:p w14:paraId="64AF5986">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历史遗留矿山综合治理面积</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6DFC4680">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约束性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7F08CED5">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5C384448">
            <w:pPr>
              <w:widowControl/>
              <w:spacing w:before="0" w:beforeLines="0"/>
              <w:ind w:firstLine="0" w:firstLineChars="0"/>
              <w:textAlignment w:val="center"/>
              <w:rPr>
                <w:rFonts w:hint="eastAsia" w:cs="宋体"/>
                <w:color w:val="000000"/>
                <w:kern w:val="0"/>
                <w:sz w:val="18"/>
                <w:szCs w:val="18"/>
                <w:lang w:bidi="ar"/>
              </w:rPr>
            </w:pPr>
          </w:p>
        </w:tc>
      </w:tr>
      <w:tr w14:paraId="4363931B">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2070B168">
            <w:pPr>
              <w:widowControl/>
              <w:spacing w:before="0" w:beforeLines="0"/>
              <w:ind w:firstLine="0" w:firstLineChars="0"/>
              <w:rPr>
                <w:rFonts w:hint="eastAsia" w:cs="宋体"/>
                <w:color w:val="000000"/>
                <w:sz w:val="18"/>
                <w:szCs w:val="18"/>
              </w:rPr>
            </w:pPr>
          </w:p>
        </w:tc>
        <w:tc>
          <w:tcPr>
            <w:tcW w:w="570" w:type="pct"/>
            <w:vMerge w:val="continue"/>
            <w:tcBorders>
              <w:top w:val="single" w:color="auto" w:sz="4" w:space="0"/>
              <w:left w:val="single" w:color="auto" w:sz="4" w:space="0"/>
              <w:bottom w:val="single" w:color="auto" w:sz="4" w:space="0"/>
              <w:right w:val="single" w:color="auto" w:sz="4" w:space="0"/>
            </w:tcBorders>
            <w:vAlign w:val="center"/>
          </w:tcPr>
          <w:p w14:paraId="437C5D25">
            <w:pPr>
              <w:widowControl/>
              <w:spacing w:before="0" w:beforeLines="0"/>
              <w:ind w:firstLine="0" w:firstLineChars="0"/>
              <w:textAlignment w:val="center"/>
              <w:rPr>
                <w:rFonts w:hint="eastAsia" w:cs="宋体"/>
                <w:color w:val="000000"/>
                <w:sz w:val="18"/>
                <w:szCs w:val="18"/>
              </w:rPr>
            </w:pPr>
          </w:p>
        </w:tc>
        <w:tc>
          <w:tcPr>
            <w:tcW w:w="1979" w:type="pct"/>
            <w:tcBorders>
              <w:top w:val="single" w:color="000000" w:sz="4" w:space="0"/>
              <w:left w:val="single" w:color="000000" w:sz="4" w:space="0"/>
              <w:bottom w:val="single" w:color="000000" w:sz="4" w:space="0"/>
              <w:right w:val="single" w:color="000000" w:sz="4" w:space="0"/>
            </w:tcBorders>
            <w:noWrap/>
            <w:vAlign w:val="center"/>
          </w:tcPr>
          <w:p w14:paraId="0A25E6C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水土流失治理面积</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5C12032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552BD99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3A026BF6">
            <w:pPr>
              <w:widowControl/>
              <w:spacing w:before="0" w:beforeLines="0"/>
              <w:ind w:firstLine="0" w:firstLineChars="0"/>
              <w:textAlignment w:val="center"/>
              <w:rPr>
                <w:rFonts w:hint="eastAsia" w:cs="宋体"/>
                <w:color w:val="000000"/>
                <w:kern w:val="0"/>
                <w:sz w:val="18"/>
                <w:szCs w:val="18"/>
                <w:lang w:bidi="ar"/>
              </w:rPr>
            </w:pPr>
          </w:p>
        </w:tc>
      </w:tr>
      <w:tr w14:paraId="2C723E81">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7EC87191">
            <w:pPr>
              <w:widowControl/>
              <w:spacing w:before="0" w:beforeLines="0"/>
              <w:ind w:firstLine="0" w:firstLineChars="0"/>
              <w:rPr>
                <w:rFonts w:hint="eastAsia" w:cs="宋体"/>
                <w:color w:val="000000"/>
                <w:sz w:val="18"/>
                <w:szCs w:val="18"/>
              </w:rPr>
            </w:pPr>
          </w:p>
        </w:tc>
        <w:tc>
          <w:tcPr>
            <w:tcW w:w="570" w:type="pct"/>
            <w:vMerge w:val="continue"/>
            <w:tcBorders>
              <w:top w:val="single" w:color="auto" w:sz="4" w:space="0"/>
              <w:left w:val="single" w:color="auto" w:sz="4" w:space="0"/>
              <w:bottom w:val="single" w:color="auto" w:sz="4" w:space="0"/>
              <w:right w:val="single" w:color="auto" w:sz="4" w:space="0"/>
            </w:tcBorders>
            <w:vAlign w:val="center"/>
          </w:tcPr>
          <w:p w14:paraId="12A56310">
            <w:pPr>
              <w:widowControl/>
              <w:spacing w:before="0" w:beforeLines="0"/>
              <w:ind w:firstLine="0" w:firstLineChars="0"/>
              <w:rPr>
                <w:rFonts w:hint="eastAsia" w:cs="宋体"/>
                <w:color w:val="000000"/>
                <w:sz w:val="18"/>
                <w:szCs w:val="18"/>
              </w:rPr>
            </w:pPr>
          </w:p>
        </w:tc>
        <w:tc>
          <w:tcPr>
            <w:tcW w:w="1979" w:type="pct"/>
            <w:tcBorders>
              <w:top w:val="single" w:color="000000" w:sz="4" w:space="0"/>
              <w:left w:val="single" w:color="000000" w:sz="4" w:space="0"/>
              <w:bottom w:val="single" w:color="000000" w:sz="4" w:space="0"/>
              <w:right w:val="single" w:color="000000" w:sz="4" w:space="0"/>
            </w:tcBorders>
            <w:noWrap/>
            <w:vAlign w:val="center"/>
          </w:tcPr>
          <w:p w14:paraId="60FD507F">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石漠化综合治理面积</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56385A7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22C5981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0EC558BC">
            <w:pPr>
              <w:widowControl/>
              <w:spacing w:before="0" w:beforeLines="0"/>
              <w:ind w:firstLine="0" w:firstLineChars="0"/>
              <w:textAlignment w:val="center"/>
              <w:rPr>
                <w:rFonts w:hint="eastAsia" w:cs="宋体"/>
                <w:color w:val="000000"/>
                <w:kern w:val="0"/>
                <w:sz w:val="18"/>
                <w:szCs w:val="18"/>
                <w:lang w:bidi="ar"/>
              </w:rPr>
            </w:pPr>
          </w:p>
        </w:tc>
      </w:tr>
      <w:tr w14:paraId="6545B925">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02E8DA61">
            <w:pPr>
              <w:widowControl/>
              <w:spacing w:before="0" w:beforeLines="0"/>
              <w:ind w:firstLine="0" w:firstLineChars="0"/>
              <w:rPr>
                <w:rFonts w:hint="eastAsia" w:cs="宋体"/>
                <w:color w:val="000000"/>
                <w:sz w:val="18"/>
                <w:szCs w:val="18"/>
              </w:rPr>
            </w:pPr>
          </w:p>
        </w:tc>
        <w:tc>
          <w:tcPr>
            <w:tcW w:w="570" w:type="pct"/>
            <w:vMerge w:val="continue"/>
            <w:tcBorders>
              <w:top w:val="single" w:color="auto" w:sz="4" w:space="0"/>
              <w:left w:val="single" w:color="auto" w:sz="4" w:space="0"/>
              <w:bottom w:val="single" w:color="auto" w:sz="4" w:space="0"/>
              <w:right w:val="single" w:color="auto" w:sz="4" w:space="0"/>
            </w:tcBorders>
            <w:vAlign w:val="center"/>
          </w:tcPr>
          <w:p w14:paraId="43A5859F">
            <w:pPr>
              <w:widowControl/>
              <w:spacing w:before="0" w:beforeLines="0"/>
              <w:ind w:firstLine="0" w:firstLineChars="0"/>
              <w:rPr>
                <w:rFonts w:hint="eastAsia" w:cs="宋体"/>
                <w:color w:val="000000"/>
                <w:sz w:val="18"/>
                <w:szCs w:val="18"/>
              </w:rPr>
            </w:pPr>
          </w:p>
        </w:tc>
        <w:tc>
          <w:tcPr>
            <w:tcW w:w="1979" w:type="pct"/>
            <w:tcBorders>
              <w:top w:val="single" w:color="000000" w:sz="4" w:space="0"/>
              <w:left w:val="single" w:color="000000" w:sz="4" w:space="0"/>
              <w:bottom w:val="single" w:color="000000" w:sz="4" w:space="0"/>
              <w:right w:val="single" w:color="000000" w:sz="4" w:space="0"/>
            </w:tcBorders>
            <w:noWrap/>
            <w:vAlign w:val="center"/>
          </w:tcPr>
          <w:p w14:paraId="6C39E45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沙化土地治理面积</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0CEEAF61">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0D90D9F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0EE6B964">
            <w:pPr>
              <w:widowControl/>
              <w:spacing w:before="0" w:beforeLines="0"/>
              <w:ind w:firstLine="0" w:firstLineChars="0"/>
              <w:textAlignment w:val="center"/>
              <w:rPr>
                <w:rFonts w:hint="eastAsia" w:cs="宋体"/>
                <w:color w:val="000000"/>
                <w:kern w:val="0"/>
                <w:sz w:val="18"/>
                <w:szCs w:val="18"/>
                <w:lang w:bidi="ar"/>
              </w:rPr>
            </w:pPr>
          </w:p>
        </w:tc>
      </w:tr>
      <w:tr w14:paraId="6DC0E677">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2B2C1AFA">
            <w:pPr>
              <w:widowControl/>
              <w:spacing w:before="0" w:beforeLines="0"/>
              <w:ind w:firstLine="0" w:firstLineChars="0"/>
              <w:rPr>
                <w:rFonts w:hint="eastAsia" w:cs="宋体"/>
                <w:color w:val="000000"/>
                <w:sz w:val="18"/>
                <w:szCs w:val="18"/>
              </w:rPr>
            </w:pPr>
          </w:p>
        </w:tc>
        <w:tc>
          <w:tcPr>
            <w:tcW w:w="570" w:type="pct"/>
            <w:vMerge w:val="continue"/>
            <w:tcBorders>
              <w:top w:val="single" w:color="auto" w:sz="4" w:space="0"/>
              <w:left w:val="single" w:color="auto" w:sz="4" w:space="0"/>
              <w:bottom w:val="single" w:color="auto" w:sz="4" w:space="0"/>
              <w:right w:val="single" w:color="auto" w:sz="4" w:space="0"/>
            </w:tcBorders>
            <w:vAlign w:val="center"/>
          </w:tcPr>
          <w:p w14:paraId="2B6303F4">
            <w:pPr>
              <w:widowControl/>
              <w:spacing w:before="0" w:beforeLines="0"/>
              <w:ind w:firstLine="0" w:firstLineChars="0"/>
              <w:rPr>
                <w:rFonts w:hint="eastAsia" w:cs="宋体"/>
                <w:color w:val="000000"/>
                <w:sz w:val="18"/>
                <w:szCs w:val="18"/>
              </w:rPr>
            </w:pPr>
          </w:p>
        </w:tc>
        <w:tc>
          <w:tcPr>
            <w:tcW w:w="1979" w:type="pct"/>
            <w:tcBorders>
              <w:top w:val="single" w:color="000000" w:sz="4" w:space="0"/>
              <w:left w:val="single" w:color="000000" w:sz="4" w:space="0"/>
              <w:bottom w:val="single" w:color="000000" w:sz="4" w:space="0"/>
              <w:right w:val="single" w:color="000000" w:sz="4" w:space="0"/>
            </w:tcBorders>
            <w:noWrap/>
            <w:vAlign w:val="center"/>
          </w:tcPr>
          <w:p w14:paraId="09148A2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耕地质量提升面积</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71C8090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63D49D5F">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18FBC380">
            <w:pPr>
              <w:widowControl/>
              <w:spacing w:before="0" w:beforeLines="0"/>
              <w:ind w:firstLine="0" w:firstLineChars="0"/>
              <w:textAlignment w:val="center"/>
              <w:rPr>
                <w:rFonts w:hint="eastAsia" w:cs="宋体"/>
                <w:color w:val="000000"/>
                <w:kern w:val="0"/>
                <w:sz w:val="18"/>
                <w:szCs w:val="18"/>
                <w:lang w:bidi="ar"/>
              </w:rPr>
            </w:pPr>
          </w:p>
        </w:tc>
      </w:tr>
      <w:tr w14:paraId="51311896">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72864962">
            <w:pPr>
              <w:widowControl/>
              <w:spacing w:before="0" w:beforeLines="0"/>
              <w:ind w:firstLine="0" w:firstLineChars="0"/>
              <w:rPr>
                <w:rFonts w:hint="eastAsia" w:cs="宋体"/>
                <w:color w:val="000000"/>
                <w:sz w:val="18"/>
                <w:szCs w:val="18"/>
              </w:rPr>
            </w:pPr>
          </w:p>
        </w:tc>
        <w:tc>
          <w:tcPr>
            <w:tcW w:w="570" w:type="pct"/>
            <w:vMerge w:val="continue"/>
            <w:tcBorders>
              <w:top w:val="single" w:color="auto" w:sz="4" w:space="0"/>
              <w:left w:val="single" w:color="auto" w:sz="4" w:space="0"/>
              <w:bottom w:val="single" w:color="auto" w:sz="4" w:space="0"/>
              <w:right w:val="single" w:color="auto" w:sz="4" w:space="0"/>
            </w:tcBorders>
            <w:vAlign w:val="center"/>
          </w:tcPr>
          <w:p w14:paraId="4FE76718">
            <w:pPr>
              <w:widowControl/>
              <w:spacing w:before="0" w:beforeLines="0"/>
              <w:ind w:firstLine="0" w:firstLineChars="0"/>
              <w:rPr>
                <w:rFonts w:hint="eastAsia" w:cs="宋体"/>
                <w:color w:val="000000"/>
                <w:sz w:val="18"/>
                <w:szCs w:val="18"/>
              </w:rPr>
            </w:pPr>
          </w:p>
        </w:tc>
        <w:tc>
          <w:tcPr>
            <w:tcW w:w="1979" w:type="pct"/>
            <w:tcBorders>
              <w:top w:val="single" w:color="000000" w:sz="4" w:space="0"/>
              <w:left w:val="single" w:color="000000" w:sz="4" w:space="0"/>
              <w:bottom w:val="single" w:color="000000" w:sz="4" w:space="0"/>
              <w:right w:val="single" w:color="000000" w:sz="4" w:space="0"/>
            </w:tcBorders>
            <w:noWrap/>
            <w:vAlign w:val="center"/>
          </w:tcPr>
          <w:p w14:paraId="3C05CB2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草原综合治理面积</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5C6220E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6A7D09ED">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147012C0">
            <w:pPr>
              <w:widowControl/>
              <w:spacing w:before="0" w:beforeLines="0"/>
              <w:ind w:firstLine="0" w:firstLineChars="0"/>
              <w:textAlignment w:val="center"/>
              <w:rPr>
                <w:rFonts w:hint="eastAsia" w:cs="宋体"/>
                <w:color w:val="000000"/>
                <w:kern w:val="0"/>
                <w:sz w:val="18"/>
                <w:szCs w:val="18"/>
                <w:lang w:bidi="ar"/>
              </w:rPr>
            </w:pPr>
          </w:p>
        </w:tc>
      </w:tr>
      <w:tr w14:paraId="07BB8D5E">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33839375">
            <w:pPr>
              <w:widowControl/>
              <w:spacing w:before="0" w:beforeLines="0"/>
              <w:ind w:firstLine="0" w:firstLineChars="0"/>
              <w:rPr>
                <w:rFonts w:hint="eastAsia" w:cs="宋体"/>
                <w:color w:val="000000"/>
                <w:sz w:val="18"/>
                <w:szCs w:val="18"/>
              </w:rPr>
            </w:pPr>
          </w:p>
        </w:tc>
        <w:tc>
          <w:tcPr>
            <w:tcW w:w="570" w:type="pct"/>
            <w:vMerge w:val="continue"/>
            <w:tcBorders>
              <w:top w:val="single" w:color="auto" w:sz="4" w:space="0"/>
              <w:left w:val="single" w:color="auto" w:sz="4" w:space="0"/>
              <w:bottom w:val="single" w:color="auto" w:sz="4" w:space="0"/>
              <w:right w:val="single" w:color="auto" w:sz="4" w:space="0"/>
            </w:tcBorders>
            <w:vAlign w:val="center"/>
          </w:tcPr>
          <w:p w14:paraId="21E24503">
            <w:pPr>
              <w:widowControl/>
              <w:spacing w:before="0" w:beforeLines="0"/>
              <w:ind w:firstLine="0" w:firstLineChars="0"/>
              <w:rPr>
                <w:rFonts w:hint="eastAsia" w:cs="宋体"/>
                <w:color w:val="000000"/>
                <w:sz w:val="18"/>
                <w:szCs w:val="18"/>
              </w:rPr>
            </w:pPr>
          </w:p>
        </w:tc>
        <w:tc>
          <w:tcPr>
            <w:tcW w:w="1979" w:type="pct"/>
            <w:tcBorders>
              <w:top w:val="single" w:color="000000" w:sz="4" w:space="0"/>
              <w:left w:val="single" w:color="000000" w:sz="4" w:space="0"/>
              <w:bottom w:val="single" w:color="000000" w:sz="4" w:space="0"/>
              <w:right w:val="single" w:color="000000" w:sz="4" w:space="0"/>
            </w:tcBorders>
            <w:noWrap/>
            <w:vAlign w:val="center"/>
          </w:tcPr>
          <w:p w14:paraId="06959B0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森林质量提升面积</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2D8E49F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7DA67DC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3B930622">
            <w:pPr>
              <w:widowControl/>
              <w:spacing w:before="0" w:beforeLines="0"/>
              <w:ind w:firstLine="0" w:firstLineChars="0"/>
              <w:textAlignment w:val="center"/>
              <w:rPr>
                <w:rFonts w:hint="eastAsia" w:cs="宋体"/>
                <w:color w:val="000000"/>
                <w:kern w:val="0"/>
                <w:sz w:val="18"/>
                <w:szCs w:val="18"/>
                <w:lang w:bidi="ar"/>
              </w:rPr>
            </w:pPr>
          </w:p>
        </w:tc>
      </w:tr>
      <w:tr w14:paraId="48B5F017">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1F1543EB">
            <w:pPr>
              <w:widowControl/>
              <w:spacing w:before="0" w:beforeLines="0"/>
              <w:ind w:firstLine="0" w:firstLineChars="0"/>
              <w:rPr>
                <w:rFonts w:hint="eastAsia" w:cs="宋体"/>
                <w:color w:val="000000"/>
                <w:sz w:val="18"/>
                <w:szCs w:val="18"/>
              </w:rPr>
            </w:pPr>
          </w:p>
        </w:tc>
        <w:tc>
          <w:tcPr>
            <w:tcW w:w="570" w:type="pct"/>
            <w:vMerge w:val="continue"/>
            <w:tcBorders>
              <w:top w:val="single" w:color="auto" w:sz="4" w:space="0"/>
              <w:left w:val="single" w:color="auto" w:sz="4" w:space="0"/>
              <w:bottom w:val="single" w:color="auto" w:sz="4" w:space="0"/>
              <w:right w:val="single" w:color="auto" w:sz="4" w:space="0"/>
            </w:tcBorders>
            <w:vAlign w:val="center"/>
          </w:tcPr>
          <w:p w14:paraId="18E307F8">
            <w:pPr>
              <w:widowControl/>
              <w:spacing w:before="0" w:beforeLines="0"/>
              <w:ind w:firstLine="0" w:firstLineChars="0"/>
              <w:rPr>
                <w:rFonts w:hint="eastAsia" w:cs="宋体"/>
                <w:color w:val="000000"/>
                <w:sz w:val="18"/>
                <w:szCs w:val="18"/>
              </w:rPr>
            </w:pPr>
          </w:p>
        </w:tc>
        <w:tc>
          <w:tcPr>
            <w:tcW w:w="1979" w:type="pct"/>
            <w:tcBorders>
              <w:top w:val="single" w:color="000000" w:sz="4" w:space="0"/>
              <w:left w:val="single" w:color="000000" w:sz="4" w:space="0"/>
              <w:bottom w:val="single" w:color="000000" w:sz="4" w:space="0"/>
              <w:right w:val="single" w:color="000000" w:sz="4" w:space="0"/>
            </w:tcBorders>
            <w:noWrap/>
            <w:vAlign w:val="center"/>
          </w:tcPr>
          <w:p w14:paraId="6CA7761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湿地修复面积</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2CE4EF1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0449621D">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61BE865A">
            <w:pPr>
              <w:widowControl/>
              <w:spacing w:before="0" w:beforeLines="0"/>
              <w:ind w:firstLine="0" w:firstLineChars="0"/>
              <w:textAlignment w:val="center"/>
              <w:rPr>
                <w:rFonts w:hint="eastAsia" w:cs="宋体"/>
                <w:color w:val="000000"/>
                <w:kern w:val="0"/>
                <w:sz w:val="18"/>
                <w:szCs w:val="18"/>
                <w:lang w:bidi="ar"/>
              </w:rPr>
            </w:pPr>
          </w:p>
        </w:tc>
      </w:tr>
      <w:tr w14:paraId="39D8D40F">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4AB81472">
            <w:pPr>
              <w:widowControl/>
              <w:spacing w:before="0" w:beforeLines="0"/>
              <w:ind w:firstLine="0" w:firstLineChars="0"/>
              <w:rPr>
                <w:rFonts w:hint="eastAsia" w:cs="宋体"/>
                <w:color w:val="000000"/>
                <w:sz w:val="18"/>
                <w:szCs w:val="18"/>
              </w:rPr>
            </w:pPr>
          </w:p>
        </w:tc>
        <w:tc>
          <w:tcPr>
            <w:tcW w:w="570" w:type="pct"/>
            <w:vMerge w:val="continue"/>
            <w:tcBorders>
              <w:top w:val="single" w:color="auto" w:sz="4" w:space="0"/>
              <w:left w:val="single" w:color="auto" w:sz="4" w:space="0"/>
              <w:bottom w:val="single" w:color="auto" w:sz="4" w:space="0"/>
              <w:right w:val="single" w:color="auto" w:sz="4" w:space="0"/>
            </w:tcBorders>
            <w:vAlign w:val="center"/>
          </w:tcPr>
          <w:p w14:paraId="1C3B43B3">
            <w:pPr>
              <w:widowControl/>
              <w:spacing w:before="0" w:beforeLines="0"/>
              <w:ind w:firstLine="0" w:firstLineChars="0"/>
              <w:rPr>
                <w:rFonts w:hint="eastAsia" w:cs="宋体"/>
                <w:color w:val="000000"/>
                <w:sz w:val="18"/>
                <w:szCs w:val="18"/>
              </w:rPr>
            </w:pPr>
          </w:p>
        </w:tc>
        <w:tc>
          <w:tcPr>
            <w:tcW w:w="1979" w:type="pct"/>
            <w:tcBorders>
              <w:top w:val="single" w:color="000000" w:sz="4" w:space="0"/>
              <w:left w:val="single" w:color="000000" w:sz="4" w:space="0"/>
              <w:bottom w:val="single" w:color="000000" w:sz="4" w:space="0"/>
              <w:right w:val="single" w:color="000000" w:sz="4" w:space="0"/>
            </w:tcBorders>
            <w:noWrap/>
            <w:vAlign w:val="center"/>
          </w:tcPr>
          <w:p w14:paraId="36FCE0FF">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污染地块安全利用率</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435A3F4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6BEAB31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04F92FC4">
            <w:pPr>
              <w:widowControl/>
              <w:spacing w:before="0" w:beforeLines="0"/>
              <w:ind w:firstLine="0" w:firstLineChars="0"/>
              <w:textAlignment w:val="center"/>
              <w:rPr>
                <w:rFonts w:hint="eastAsia" w:cs="宋体"/>
                <w:color w:val="000000"/>
                <w:kern w:val="0"/>
                <w:sz w:val="18"/>
                <w:szCs w:val="18"/>
                <w:lang w:bidi="ar"/>
              </w:rPr>
            </w:pPr>
          </w:p>
        </w:tc>
      </w:tr>
      <w:tr w14:paraId="7F23215B">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25117B61">
            <w:pPr>
              <w:widowControl/>
              <w:spacing w:before="0" w:beforeLines="0"/>
              <w:ind w:firstLine="0" w:firstLineChars="0"/>
              <w:rPr>
                <w:rFonts w:hint="eastAsia" w:cs="宋体"/>
                <w:color w:val="000000"/>
                <w:sz w:val="18"/>
                <w:szCs w:val="18"/>
              </w:rPr>
            </w:pPr>
          </w:p>
        </w:tc>
        <w:tc>
          <w:tcPr>
            <w:tcW w:w="570" w:type="pct"/>
            <w:vMerge w:val="continue"/>
            <w:tcBorders>
              <w:top w:val="single" w:color="auto" w:sz="4" w:space="0"/>
              <w:left w:val="single" w:color="auto" w:sz="4" w:space="0"/>
              <w:bottom w:val="single" w:color="auto" w:sz="4" w:space="0"/>
              <w:right w:val="single" w:color="auto" w:sz="4" w:space="0"/>
            </w:tcBorders>
            <w:vAlign w:val="center"/>
          </w:tcPr>
          <w:p w14:paraId="557180E8">
            <w:pPr>
              <w:widowControl/>
              <w:spacing w:before="0" w:beforeLines="0"/>
              <w:ind w:firstLine="0" w:firstLineChars="0"/>
              <w:rPr>
                <w:rFonts w:hint="eastAsia" w:cs="宋体"/>
                <w:color w:val="000000"/>
                <w:sz w:val="18"/>
                <w:szCs w:val="18"/>
              </w:rPr>
            </w:pPr>
          </w:p>
        </w:tc>
        <w:tc>
          <w:tcPr>
            <w:tcW w:w="1979" w:type="pct"/>
            <w:tcBorders>
              <w:top w:val="single" w:color="000000" w:sz="4" w:space="0"/>
              <w:left w:val="single" w:color="000000" w:sz="4" w:space="0"/>
              <w:bottom w:val="single" w:color="000000" w:sz="4" w:space="0"/>
              <w:right w:val="single" w:color="000000" w:sz="4" w:space="0"/>
            </w:tcBorders>
            <w:noWrap/>
            <w:vAlign w:val="center"/>
          </w:tcPr>
          <w:p w14:paraId="50402EF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重要生态廊道修复或建设面积</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191E6EF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04A5AEA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1289FDD6">
            <w:pPr>
              <w:widowControl/>
              <w:spacing w:before="0" w:beforeLines="0"/>
              <w:ind w:firstLine="0" w:firstLineChars="0"/>
              <w:textAlignment w:val="center"/>
              <w:rPr>
                <w:rFonts w:hint="eastAsia" w:cs="宋体"/>
                <w:color w:val="000000"/>
                <w:kern w:val="0"/>
                <w:sz w:val="18"/>
                <w:szCs w:val="18"/>
                <w:lang w:bidi="ar"/>
              </w:rPr>
            </w:pPr>
          </w:p>
        </w:tc>
      </w:tr>
      <w:tr w14:paraId="7099DA26">
        <w:tblPrEx>
          <w:tblCellMar>
            <w:top w:w="0" w:type="dxa"/>
            <w:left w:w="108" w:type="dxa"/>
            <w:bottom w:w="0" w:type="dxa"/>
            <w:right w:w="108" w:type="dxa"/>
          </w:tblCellMar>
        </w:tblPrEx>
        <w:tc>
          <w:tcPr>
            <w:tcW w:w="568" w:type="pct"/>
            <w:vMerge w:val="continue"/>
            <w:tcBorders>
              <w:left w:val="single" w:color="000000" w:sz="4" w:space="0"/>
              <w:right w:val="single" w:color="000000" w:sz="4" w:space="0"/>
            </w:tcBorders>
            <w:vAlign w:val="center"/>
          </w:tcPr>
          <w:p w14:paraId="790B4ADC">
            <w:pPr>
              <w:widowControl/>
              <w:spacing w:before="0" w:beforeLines="0"/>
              <w:ind w:firstLine="0" w:firstLineChars="0"/>
              <w:rPr>
                <w:rFonts w:hint="eastAsia" w:cs="宋体"/>
                <w:color w:val="000000"/>
                <w:sz w:val="18"/>
                <w:szCs w:val="18"/>
              </w:rPr>
            </w:pPr>
          </w:p>
        </w:tc>
        <w:tc>
          <w:tcPr>
            <w:tcW w:w="570" w:type="pct"/>
            <w:vMerge w:val="continue"/>
            <w:tcBorders>
              <w:top w:val="single" w:color="auto" w:sz="4" w:space="0"/>
              <w:left w:val="single" w:color="auto" w:sz="4" w:space="0"/>
              <w:bottom w:val="single" w:color="auto" w:sz="4" w:space="0"/>
              <w:right w:val="single" w:color="auto" w:sz="4" w:space="0"/>
            </w:tcBorders>
            <w:vAlign w:val="center"/>
          </w:tcPr>
          <w:p w14:paraId="25896F51">
            <w:pPr>
              <w:widowControl/>
              <w:spacing w:before="0" w:beforeLines="0"/>
              <w:ind w:firstLine="0" w:firstLineChars="0"/>
              <w:rPr>
                <w:rFonts w:hint="eastAsia" w:cs="宋体"/>
                <w:color w:val="000000"/>
                <w:sz w:val="18"/>
                <w:szCs w:val="18"/>
              </w:rPr>
            </w:pPr>
          </w:p>
        </w:tc>
        <w:tc>
          <w:tcPr>
            <w:tcW w:w="1979" w:type="pct"/>
            <w:tcBorders>
              <w:top w:val="single" w:color="000000" w:sz="4" w:space="0"/>
              <w:left w:val="single" w:color="000000" w:sz="4" w:space="0"/>
              <w:bottom w:val="single" w:color="000000" w:sz="4" w:space="0"/>
              <w:right w:val="single" w:color="000000" w:sz="4" w:space="0"/>
            </w:tcBorders>
            <w:noWrap/>
            <w:vAlign w:val="center"/>
          </w:tcPr>
          <w:p w14:paraId="250457AE">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野生动物重要栖息地面积增长</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463F456D">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184FBF81">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4585906C">
            <w:pPr>
              <w:widowControl/>
              <w:spacing w:before="0" w:beforeLines="0"/>
              <w:ind w:firstLine="0" w:firstLineChars="0"/>
              <w:textAlignment w:val="center"/>
              <w:rPr>
                <w:rFonts w:hint="eastAsia" w:cs="宋体"/>
                <w:color w:val="000000"/>
                <w:kern w:val="0"/>
                <w:sz w:val="18"/>
                <w:szCs w:val="18"/>
                <w:lang w:bidi="ar"/>
              </w:rPr>
            </w:pPr>
          </w:p>
        </w:tc>
      </w:tr>
      <w:tr w14:paraId="7C889075">
        <w:tblPrEx>
          <w:tblCellMar>
            <w:top w:w="0" w:type="dxa"/>
            <w:left w:w="108" w:type="dxa"/>
            <w:bottom w:w="0" w:type="dxa"/>
            <w:right w:w="108" w:type="dxa"/>
          </w:tblCellMar>
        </w:tblPrEx>
        <w:tc>
          <w:tcPr>
            <w:tcW w:w="568" w:type="pct"/>
            <w:vMerge w:val="continue"/>
            <w:tcBorders>
              <w:left w:val="single" w:color="000000" w:sz="4" w:space="0"/>
              <w:bottom w:val="single" w:color="auto" w:sz="4" w:space="0"/>
              <w:right w:val="single" w:color="000000" w:sz="4" w:space="0"/>
            </w:tcBorders>
            <w:vAlign w:val="center"/>
          </w:tcPr>
          <w:p w14:paraId="63F9CFA2">
            <w:pPr>
              <w:widowControl/>
              <w:spacing w:before="0" w:beforeLines="0"/>
              <w:ind w:firstLine="0" w:firstLineChars="0"/>
              <w:rPr>
                <w:rFonts w:hint="eastAsia" w:cs="宋体"/>
                <w:color w:val="000000"/>
                <w:sz w:val="18"/>
                <w:szCs w:val="18"/>
              </w:rPr>
            </w:pPr>
          </w:p>
        </w:tc>
        <w:tc>
          <w:tcPr>
            <w:tcW w:w="570" w:type="pct"/>
            <w:vMerge w:val="continue"/>
            <w:tcBorders>
              <w:top w:val="single" w:color="auto" w:sz="4" w:space="0"/>
              <w:left w:val="single" w:color="auto" w:sz="4" w:space="0"/>
              <w:bottom w:val="single" w:color="auto" w:sz="4" w:space="0"/>
              <w:right w:val="single" w:color="auto" w:sz="4" w:space="0"/>
            </w:tcBorders>
            <w:vAlign w:val="center"/>
          </w:tcPr>
          <w:p w14:paraId="0D7186EE">
            <w:pPr>
              <w:widowControl/>
              <w:spacing w:before="0" w:beforeLines="0"/>
              <w:ind w:firstLine="0" w:firstLineChars="0"/>
              <w:rPr>
                <w:rFonts w:hint="eastAsia" w:cs="宋体"/>
                <w:color w:val="000000"/>
                <w:sz w:val="18"/>
                <w:szCs w:val="18"/>
              </w:rPr>
            </w:pPr>
          </w:p>
        </w:tc>
        <w:tc>
          <w:tcPr>
            <w:tcW w:w="1979" w:type="pct"/>
            <w:tcBorders>
              <w:top w:val="single" w:color="000000" w:sz="4" w:space="0"/>
              <w:left w:val="single" w:color="000000" w:sz="4" w:space="0"/>
              <w:bottom w:val="single" w:color="000000" w:sz="4" w:space="0"/>
              <w:right w:val="single" w:color="000000" w:sz="4" w:space="0"/>
            </w:tcBorders>
            <w:noWrap/>
            <w:vAlign w:val="center"/>
          </w:tcPr>
          <w:p w14:paraId="225ECA72">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4D1151E1">
            <w:pPr>
              <w:widowControl/>
              <w:spacing w:before="0" w:beforeLines="0"/>
              <w:ind w:firstLine="0" w:firstLineChars="0"/>
              <w:textAlignment w:val="center"/>
              <w:rPr>
                <w:rFonts w:hint="eastAsia" w:cs="宋体"/>
                <w:color w:val="000000"/>
                <w:kern w:val="0"/>
                <w:sz w:val="18"/>
                <w:szCs w:val="18"/>
                <w:lang w:bidi="ar"/>
              </w:rPr>
            </w:pP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2113DEF5">
            <w:pPr>
              <w:widowControl/>
              <w:spacing w:before="0" w:beforeLines="0"/>
              <w:ind w:firstLine="0" w:firstLineChars="0"/>
              <w:textAlignment w:val="center"/>
              <w:rPr>
                <w:rFonts w:hint="eastAsia" w:cs="宋体"/>
                <w:color w:val="000000"/>
                <w:kern w:val="0"/>
                <w:sz w:val="18"/>
                <w:szCs w:val="18"/>
                <w:lang w:bidi="ar"/>
              </w:rPr>
            </w:pP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6BDFC2C6">
            <w:pPr>
              <w:widowControl/>
              <w:spacing w:before="0" w:beforeLines="0"/>
              <w:ind w:firstLine="0" w:firstLineChars="0"/>
              <w:textAlignment w:val="center"/>
              <w:rPr>
                <w:rFonts w:hint="eastAsia" w:cs="宋体"/>
                <w:color w:val="000000"/>
                <w:kern w:val="0"/>
                <w:sz w:val="18"/>
                <w:szCs w:val="18"/>
                <w:lang w:bidi="ar"/>
              </w:rPr>
            </w:pPr>
          </w:p>
        </w:tc>
      </w:tr>
      <w:tr w14:paraId="302196CA">
        <w:tblPrEx>
          <w:tblCellMar>
            <w:top w:w="0" w:type="dxa"/>
            <w:left w:w="108" w:type="dxa"/>
            <w:bottom w:w="0" w:type="dxa"/>
            <w:right w:w="108" w:type="dxa"/>
          </w:tblCellMar>
        </w:tblPrEx>
        <w:tc>
          <w:tcPr>
            <w:tcW w:w="568" w:type="pct"/>
            <w:vMerge w:val="restart"/>
            <w:tcBorders>
              <w:top w:val="single" w:color="auto" w:sz="4" w:space="0"/>
              <w:left w:val="single" w:color="auto" w:sz="4" w:space="0"/>
              <w:bottom w:val="single" w:color="auto" w:sz="4" w:space="0"/>
              <w:right w:val="single" w:color="auto" w:sz="4" w:space="0"/>
            </w:tcBorders>
            <w:vAlign w:val="center"/>
          </w:tcPr>
          <w:p w14:paraId="0324ABE5">
            <w:pPr>
              <w:widowControl/>
              <w:spacing w:before="0" w:beforeLines="0"/>
              <w:ind w:firstLine="0" w:firstLineChars="0"/>
              <w:jc w:val="center"/>
              <w:textAlignment w:val="center"/>
              <w:rPr>
                <w:rFonts w:hint="eastAsia" w:cs="宋体"/>
                <w:color w:val="000000"/>
                <w:sz w:val="18"/>
                <w:szCs w:val="18"/>
              </w:rPr>
            </w:pPr>
            <w:r>
              <w:rPr>
                <w:rFonts w:hint="eastAsia" w:cs="宋体"/>
                <w:color w:val="000000"/>
                <w:kern w:val="0"/>
                <w:sz w:val="18"/>
                <w:szCs w:val="18"/>
                <w:lang w:bidi="ar"/>
              </w:rPr>
              <w:t>生态</w:t>
            </w:r>
            <w:r>
              <w:rPr>
                <w:rStyle w:val="32"/>
                <w:sz w:val="18"/>
                <w:szCs w:val="18"/>
                <w:lang w:bidi="ar"/>
              </w:rPr>
              <w:t>效果类</w:t>
            </w:r>
          </w:p>
        </w:tc>
        <w:tc>
          <w:tcPr>
            <w:tcW w:w="570" w:type="pct"/>
            <w:vMerge w:val="restart"/>
            <w:tcBorders>
              <w:top w:val="single" w:color="auto" w:sz="4" w:space="0"/>
              <w:left w:val="single" w:color="auto" w:sz="4" w:space="0"/>
              <w:bottom w:val="single" w:color="auto" w:sz="4" w:space="0"/>
              <w:right w:val="single" w:color="000000" w:sz="4" w:space="0"/>
            </w:tcBorders>
            <w:vAlign w:val="center"/>
          </w:tcPr>
          <w:p w14:paraId="06BBB6B6">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生态系统服务</w:t>
            </w:r>
          </w:p>
        </w:tc>
        <w:tc>
          <w:tcPr>
            <w:tcW w:w="1979" w:type="pct"/>
            <w:tcBorders>
              <w:top w:val="nil"/>
              <w:left w:val="nil"/>
              <w:bottom w:val="single" w:color="000000" w:sz="4" w:space="0"/>
              <w:right w:val="single" w:color="000000" w:sz="4" w:space="0"/>
            </w:tcBorders>
            <w:vAlign w:val="center"/>
          </w:tcPr>
          <w:p w14:paraId="65185D5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水源涵养服务变化情况</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4EB360A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017D927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681D04E0">
            <w:pPr>
              <w:widowControl/>
              <w:spacing w:before="0" w:beforeLines="0"/>
              <w:ind w:firstLine="0" w:firstLineChars="0"/>
              <w:textAlignment w:val="center"/>
              <w:rPr>
                <w:rFonts w:hint="eastAsia" w:cs="宋体"/>
                <w:color w:val="000000"/>
                <w:kern w:val="0"/>
                <w:sz w:val="18"/>
                <w:szCs w:val="18"/>
                <w:lang w:bidi="ar"/>
              </w:rPr>
            </w:pPr>
          </w:p>
        </w:tc>
      </w:tr>
      <w:tr w14:paraId="189FF3C2">
        <w:tblPrEx>
          <w:tblCellMar>
            <w:top w:w="0" w:type="dxa"/>
            <w:left w:w="108" w:type="dxa"/>
            <w:bottom w:w="0" w:type="dxa"/>
            <w:right w:w="108" w:type="dxa"/>
          </w:tblCellMar>
        </w:tblPrEx>
        <w:tc>
          <w:tcPr>
            <w:tcW w:w="568" w:type="pct"/>
            <w:vMerge w:val="continue"/>
            <w:tcBorders>
              <w:top w:val="single" w:color="auto" w:sz="4" w:space="0"/>
              <w:left w:val="single" w:color="auto" w:sz="4" w:space="0"/>
              <w:bottom w:val="single" w:color="auto" w:sz="4" w:space="0"/>
              <w:right w:val="single" w:color="auto" w:sz="4" w:space="0"/>
            </w:tcBorders>
            <w:vAlign w:val="center"/>
          </w:tcPr>
          <w:p w14:paraId="345CE4BF">
            <w:pPr>
              <w:widowControl/>
              <w:spacing w:before="0" w:beforeLines="0"/>
              <w:ind w:firstLine="0" w:firstLineChars="0"/>
              <w:rPr>
                <w:rFonts w:hint="eastAsia" w:cs="宋体"/>
                <w:color w:val="000000"/>
                <w:sz w:val="18"/>
                <w:szCs w:val="18"/>
              </w:rPr>
            </w:pPr>
          </w:p>
        </w:tc>
        <w:tc>
          <w:tcPr>
            <w:tcW w:w="570" w:type="pct"/>
            <w:vMerge w:val="continue"/>
            <w:tcBorders>
              <w:top w:val="single" w:color="auto" w:sz="4" w:space="0"/>
              <w:left w:val="single" w:color="auto" w:sz="4" w:space="0"/>
              <w:bottom w:val="single" w:color="auto" w:sz="4" w:space="0"/>
              <w:right w:val="single" w:color="000000" w:sz="4" w:space="0"/>
            </w:tcBorders>
            <w:vAlign w:val="center"/>
          </w:tcPr>
          <w:p w14:paraId="12AD9028">
            <w:pPr>
              <w:widowControl/>
              <w:spacing w:before="0" w:beforeLines="0"/>
              <w:ind w:firstLine="0" w:firstLineChars="0"/>
              <w:rPr>
                <w:rFonts w:hint="eastAsia" w:cs="宋体"/>
                <w:color w:val="000000"/>
                <w:sz w:val="18"/>
                <w:szCs w:val="18"/>
              </w:rPr>
            </w:pPr>
          </w:p>
        </w:tc>
        <w:tc>
          <w:tcPr>
            <w:tcW w:w="1979" w:type="pct"/>
            <w:tcBorders>
              <w:top w:val="single" w:color="000000" w:sz="4" w:space="0"/>
              <w:left w:val="nil"/>
              <w:bottom w:val="single" w:color="000000" w:sz="4" w:space="0"/>
              <w:right w:val="single" w:color="000000" w:sz="4" w:space="0"/>
            </w:tcBorders>
            <w:noWrap/>
            <w:vAlign w:val="center"/>
          </w:tcPr>
          <w:p w14:paraId="4A0B3FED">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洪水调蓄服务变化情况</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6D635DC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62A2E57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2D4DCB0C">
            <w:pPr>
              <w:widowControl/>
              <w:spacing w:before="0" w:beforeLines="0"/>
              <w:ind w:firstLine="0" w:firstLineChars="0"/>
              <w:textAlignment w:val="center"/>
              <w:rPr>
                <w:rFonts w:hint="eastAsia" w:cs="宋体"/>
                <w:color w:val="000000"/>
                <w:kern w:val="0"/>
                <w:sz w:val="18"/>
                <w:szCs w:val="18"/>
                <w:lang w:bidi="ar"/>
              </w:rPr>
            </w:pPr>
          </w:p>
        </w:tc>
      </w:tr>
      <w:tr w14:paraId="5F109FB7">
        <w:tblPrEx>
          <w:tblCellMar>
            <w:top w:w="0" w:type="dxa"/>
            <w:left w:w="108" w:type="dxa"/>
            <w:bottom w:w="0" w:type="dxa"/>
            <w:right w:w="108" w:type="dxa"/>
          </w:tblCellMar>
        </w:tblPrEx>
        <w:tc>
          <w:tcPr>
            <w:tcW w:w="568" w:type="pct"/>
            <w:vMerge w:val="continue"/>
            <w:tcBorders>
              <w:top w:val="single" w:color="auto" w:sz="4" w:space="0"/>
              <w:left w:val="single" w:color="auto" w:sz="4" w:space="0"/>
              <w:bottom w:val="single" w:color="auto" w:sz="4" w:space="0"/>
              <w:right w:val="single" w:color="auto" w:sz="4" w:space="0"/>
            </w:tcBorders>
            <w:vAlign w:val="center"/>
          </w:tcPr>
          <w:p w14:paraId="013262FC">
            <w:pPr>
              <w:widowControl/>
              <w:spacing w:before="0" w:beforeLines="0"/>
              <w:ind w:firstLine="0" w:firstLineChars="0"/>
              <w:rPr>
                <w:rFonts w:hint="eastAsia" w:cs="宋体"/>
                <w:color w:val="000000"/>
                <w:sz w:val="18"/>
                <w:szCs w:val="18"/>
              </w:rPr>
            </w:pPr>
          </w:p>
        </w:tc>
        <w:tc>
          <w:tcPr>
            <w:tcW w:w="570" w:type="pct"/>
            <w:vMerge w:val="continue"/>
            <w:tcBorders>
              <w:top w:val="single" w:color="auto" w:sz="4" w:space="0"/>
              <w:left w:val="single" w:color="auto" w:sz="4" w:space="0"/>
              <w:bottom w:val="single" w:color="auto" w:sz="4" w:space="0"/>
              <w:right w:val="single" w:color="000000" w:sz="4" w:space="0"/>
            </w:tcBorders>
            <w:vAlign w:val="center"/>
          </w:tcPr>
          <w:p w14:paraId="5501E7E1">
            <w:pPr>
              <w:widowControl/>
              <w:spacing w:before="0" w:beforeLines="0"/>
              <w:ind w:firstLine="0" w:firstLineChars="0"/>
              <w:rPr>
                <w:rFonts w:hint="eastAsia" w:cs="宋体"/>
                <w:color w:val="000000"/>
                <w:sz w:val="18"/>
                <w:szCs w:val="18"/>
              </w:rPr>
            </w:pPr>
          </w:p>
        </w:tc>
        <w:tc>
          <w:tcPr>
            <w:tcW w:w="1979" w:type="pct"/>
            <w:tcBorders>
              <w:top w:val="single" w:color="000000" w:sz="4" w:space="0"/>
              <w:left w:val="nil"/>
              <w:bottom w:val="single" w:color="000000" w:sz="4" w:space="0"/>
              <w:right w:val="single" w:color="000000" w:sz="4" w:space="0"/>
            </w:tcBorders>
            <w:noWrap/>
            <w:vAlign w:val="center"/>
          </w:tcPr>
          <w:p w14:paraId="3B07D5E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防风固沙服务变化情况</w:t>
            </w:r>
          </w:p>
        </w:tc>
        <w:tc>
          <w:tcPr>
            <w:tcW w:w="500" w:type="pct"/>
            <w:tcBorders>
              <w:top w:val="single" w:color="000000" w:sz="4" w:space="0"/>
              <w:left w:val="single" w:color="000000" w:sz="4" w:space="0"/>
              <w:bottom w:val="single" w:color="000000" w:sz="4" w:space="0"/>
              <w:right w:val="single" w:color="000000" w:sz="4" w:space="0"/>
            </w:tcBorders>
            <w:noWrap/>
            <w:vAlign w:val="center"/>
          </w:tcPr>
          <w:p w14:paraId="375EBCD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7877F08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76AF4869">
            <w:pPr>
              <w:widowControl/>
              <w:spacing w:before="0" w:beforeLines="0"/>
              <w:ind w:firstLine="0" w:firstLineChars="0"/>
              <w:textAlignment w:val="center"/>
              <w:rPr>
                <w:rFonts w:hint="eastAsia" w:cs="宋体"/>
                <w:color w:val="000000"/>
                <w:kern w:val="0"/>
                <w:sz w:val="18"/>
                <w:szCs w:val="18"/>
                <w:lang w:bidi="ar"/>
              </w:rPr>
            </w:pPr>
          </w:p>
        </w:tc>
      </w:tr>
    </w:tbl>
    <w:p w14:paraId="5F36E1C2">
      <w:pPr>
        <w:spacing w:before="156"/>
        <w:ind w:firstLine="420"/>
        <w:rPr>
          <w:rFonts w:hint="eastAsia"/>
        </w:rPr>
      </w:pPr>
    </w:p>
    <w:p w14:paraId="6BE0C47A">
      <w:pPr>
        <w:spacing w:before="156"/>
        <w:ind w:firstLine="420"/>
        <w:rPr>
          <w:rFonts w:hint="eastAsia"/>
        </w:rPr>
      </w:pPr>
    </w:p>
    <w:p w14:paraId="1710AED5">
      <w:pPr>
        <w:spacing w:before="156" w:after="156" w:afterLines="50"/>
        <w:ind w:firstLine="420"/>
        <w:jc w:val="center"/>
        <w:rPr>
          <w:rFonts w:ascii="黑体" w:hAnsi="Times New Roman" w:eastAsia="黑体" w:cs="Times New Roman"/>
          <w:kern w:val="0"/>
          <w:szCs w:val="22"/>
        </w:rPr>
      </w:pPr>
      <w:r>
        <w:rPr>
          <w:rFonts w:hint="eastAsia" w:ascii="黑体" w:hAnsi="Times New Roman" w:eastAsia="黑体" w:cs="Times New Roman"/>
          <w:kern w:val="0"/>
          <w:szCs w:val="22"/>
        </w:rPr>
        <w:t>表C.1 国土空间生态修复规划后期综合效果评估结果分级表（续）</w:t>
      </w:r>
    </w:p>
    <w:tbl>
      <w:tblPr>
        <w:tblStyle w:val="17"/>
        <w:tblW w:w="4881" w:type="pct"/>
        <w:tblInd w:w="0" w:type="dxa"/>
        <w:tblLayout w:type="fixed"/>
        <w:tblCellMar>
          <w:top w:w="0" w:type="dxa"/>
          <w:left w:w="108" w:type="dxa"/>
          <w:bottom w:w="0" w:type="dxa"/>
          <w:right w:w="108" w:type="dxa"/>
        </w:tblCellMar>
      </w:tblPr>
      <w:tblGrid>
        <w:gridCol w:w="1111"/>
        <w:gridCol w:w="1118"/>
        <w:gridCol w:w="3183"/>
        <w:gridCol w:w="1192"/>
        <w:gridCol w:w="1730"/>
        <w:gridCol w:w="797"/>
      </w:tblGrid>
      <w:tr w14:paraId="02EF25B1">
        <w:tblPrEx>
          <w:tblCellMar>
            <w:top w:w="0" w:type="dxa"/>
            <w:left w:w="108" w:type="dxa"/>
            <w:bottom w:w="0" w:type="dxa"/>
            <w:right w:w="108" w:type="dxa"/>
          </w:tblCellMar>
        </w:tblPrEx>
        <w:tc>
          <w:tcPr>
            <w:tcW w:w="608" w:type="pct"/>
            <w:tcBorders>
              <w:top w:val="single" w:color="auto" w:sz="4" w:space="0"/>
              <w:left w:val="single" w:color="auto" w:sz="4" w:space="0"/>
              <w:bottom w:val="single" w:color="auto" w:sz="4" w:space="0"/>
              <w:right w:val="single" w:color="auto" w:sz="4" w:space="0"/>
            </w:tcBorders>
            <w:vAlign w:val="center"/>
          </w:tcPr>
          <w:p w14:paraId="5C41C9D3">
            <w:pPr>
              <w:widowControl/>
              <w:spacing w:before="0" w:beforeLines="0"/>
              <w:ind w:firstLine="0" w:firstLineChars="0"/>
              <w:rPr>
                <w:rFonts w:hint="eastAsia" w:cs="宋体"/>
                <w:color w:val="000000"/>
                <w:sz w:val="18"/>
                <w:szCs w:val="18"/>
              </w:rPr>
            </w:pPr>
            <w:r>
              <w:rPr>
                <w:rFonts w:hint="eastAsia" w:cs="宋体"/>
                <w:color w:val="000000"/>
                <w:kern w:val="0"/>
                <w:sz w:val="18"/>
                <w:szCs w:val="18"/>
                <w:lang w:bidi="ar"/>
              </w:rPr>
              <w:t>一级指标</w:t>
            </w:r>
          </w:p>
        </w:tc>
        <w:tc>
          <w:tcPr>
            <w:tcW w:w="612" w:type="pct"/>
            <w:tcBorders>
              <w:top w:val="single" w:color="auto" w:sz="4" w:space="0"/>
              <w:left w:val="single" w:color="auto" w:sz="4" w:space="0"/>
              <w:bottom w:val="single" w:color="auto" w:sz="4" w:space="0"/>
              <w:right w:val="single" w:color="auto" w:sz="4" w:space="0"/>
            </w:tcBorders>
            <w:vAlign w:val="center"/>
          </w:tcPr>
          <w:p w14:paraId="57F4A955">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二级指标</w:t>
            </w:r>
          </w:p>
        </w:tc>
        <w:tc>
          <w:tcPr>
            <w:tcW w:w="1743" w:type="pct"/>
            <w:tcBorders>
              <w:top w:val="single" w:color="auto" w:sz="4" w:space="0"/>
              <w:left w:val="single" w:color="auto" w:sz="4" w:space="0"/>
              <w:bottom w:val="single" w:color="auto" w:sz="4" w:space="0"/>
              <w:right w:val="single" w:color="auto" w:sz="4" w:space="0"/>
            </w:tcBorders>
            <w:noWrap/>
            <w:vAlign w:val="center"/>
          </w:tcPr>
          <w:p w14:paraId="760686BC">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三级指标</w:t>
            </w:r>
          </w:p>
        </w:tc>
        <w:tc>
          <w:tcPr>
            <w:tcW w:w="653" w:type="pct"/>
            <w:tcBorders>
              <w:top w:val="single" w:color="000000" w:sz="4" w:space="0"/>
              <w:left w:val="single" w:color="auto" w:sz="4" w:space="0"/>
              <w:bottom w:val="single" w:color="000000" w:sz="4" w:space="0"/>
              <w:right w:val="single" w:color="000000" w:sz="4" w:space="0"/>
            </w:tcBorders>
            <w:noWrap/>
            <w:vAlign w:val="center"/>
          </w:tcPr>
          <w:p w14:paraId="13B4E229">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指标类型</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4D1009F2">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评估结果分级</w:t>
            </w:r>
          </w:p>
        </w:tc>
        <w:tc>
          <w:tcPr>
            <w:tcW w:w="433" w:type="pct"/>
            <w:tcBorders>
              <w:top w:val="single" w:color="000000" w:sz="4" w:space="0"/>
              <w:left w:val="single" w:color="000000" w:sz="4" w:space="0"/>
              <w:bottom w:val="single" w:color="000000" w:sz="4" w:space="0"/>
              <w:right w:val="single" w:color="000000" w:sz="4" w:space="0"/>
            </w:tcBorders>
            <w:noWrap/>
            <w:vAlign w:val="center"/>
          </w:tcPr>
          <w:p w14:paraId="11F4B589">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备注</w:t>
            </w:r>
          </w:p>
        </w:tc>
      </w:tr>
      <w:tr w14:paraId="69CEDB43">
        <w:tblPrEx>
          <w:tblCellMar>
            <w:top w:w="0" w:type="dxa"/>
            <w:left w:w="108" w:type="dxa"/>
            <w:bottom w:w="0" w:type="dxa"/>
            <w:right w:w="108" w:type="dxa"/>
          </w:tblCellMar>
        </w:tblPrEx>
        <w:tc>
          <w:tcPr>
            <w:tcW w:w="608" w:type="pct"/>
            <w:vMerge w:val="restart"/>
            <w:tcBorders>
              <w:top w:val="single" w:color="auto" w:sz="4" w:space="0"/>
              <w:left w:val="single" w:color="auto" w:sz="4" w:space="0"/>
              <w:right w:val="single" w:color="auto" w:sz="4" w:space="0"/>
            </w:tcBorders>
            <w:vAlign w:val="center"/>
          </w:tcPr>
          <w:p w14:paraId="3EC21459">
            <w:pPr>
              <w:widowControl/>
              <w:spacing w:before="0" w:beforeLines="0"/>
              <w:ind w:firstLine="0" w:firstLineChars="0"/>
              <w:rPr>
                <w:rFonts w:hint="eastAsia" w:cs="宋体"/>
                <w:color w:val="000000"/>
                <w:sz w:val="18"/>
                <w:szCs w:val="18"/>
              </w:rPr>
            </w:pPr>
            <w:r>
              <w:rPr>
                <w:rFonts w:hint="eastAsia" w:cs="宋体"/>
                <w:color w:val="000000"/>
                <w:kern w:val="0"/>
                <w:sz w:val="18"/>
                <w:szCs w:val="18"/>
                <w:lang w:bidi="ar"/>
              </w:rPr>
              <w:t>生态</w:t>
            </w:r>
            <w:r>
              <w:rPr>
                <w:rStyle w:val="32"/>
                <w:sz w:val="18"/>
                <w:szCs w:val="18"/>
                <w:lang w:bidi="ar"/>
              </w:rPr>
              <w:br w:type="textWrapping"/>
            </w:r>
            <w:r>
              <w:rPr>
                <w:rStyle w:val="32"/>
                <w:sz w:val="18"/>
                <w:szCs w:val="18"/>
                <w:lang w:bidi="ar"/>
              </w:rPr>
              <w:t>效果类</w:t>
            </w:r>
          </w:p>
        </w:tc>
        <w:tc>
          <w:tcPr>
            <w:tcW w:w="612" w:type="pct"/>
            <w:vMerge w:val="restart"/>
            <w:tcBorders>
              <w:top w:val="single" w:color="auto" w:sz="4" w:space="0"/>
              <w:left w:val="single" w:color="auto" w:sz="4" w:space="0"/>
              <w:bottom w:val="single" w:color="auto" w:sz="4" w:space="0"/>
              <w:right w:val="single" w:color="auto" w:sz="4" w:space="0"/>
            </w:tcBorders>
            <w:vAlign w:val="center"/>
          </w:tcPr>
          <w:p w14:paraId="745E01CD">
            <w:pPr>
              <w:widowControl/>
              <w:spacing w:before="0" w:beforeLines="0"/>
              <w:ind w:firstLine="0" w:firstLineChars="0"/>
              <w:rPr>
                <w:rFonts w:hint="eastAsia" w:cs="宋体"/>
                <w:color w:val="000000"/>
                <w:sz w:val="18"/>
                <w:szCs w:val="18"/>
              </w:rPr>
            </w:pPr>
            <w:r>
              <w:rPr>
                <w:rFonts w:hint="eastAsia" w:cs="宋体"/>
                <w:color w:val="000000"/>
                <w:kern w:val="0"/>
                <w:sz w:val="18"/>
                <w:szCs w:val="18"/>
                <w:lang w:bidi="ar"/>
              </w:rPr>
              <w:t>生态系统服务</w:t>
            </w:r>
          </w:p>
        </w:tc>
        <w:tc>
          <w:tcPr>
            <w:tcW w:w="1743" w:type="pct"/>
            <w:tcBorders>
              <w:top w:val="single" w:color="auto" w:sz="4" w:space="0"/>
              <w:left w:val="single" w:color="auto" w:sz="4" w:space="0"/>
              <w:bottom w:val="single" w:color="auto" w:sz="4" w:space="0"/>
              <w:right w:val="single" w:color="auto" w:sz="4" w:space="0"/>
            </w:tcBorders>
            <w:noWrap/>
            <w:vAlign w:val="center"/>
          </w:tcPr>
          <w:p w14:paraId="71B8066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土壤保持服务变化情况</w:t>
            </w:r>
          </w:p>
        </w:tc>
        <w:tc>
          <w:tcPr>
            <w:tcW w:w="653" w:type="pct"/>
            <w:tcBorders>
              <w:top w:val="single" w:color="000000" w:sz="4" w:space="0"/>
              <w:left w:val="single" w:color="auto" w:sz="4" w:space="0"/>
              <w:bottom w:val="single" w:color="000000" w:sz="4" w:space="0"/>
              <w:right w:val="single" w:color="000000" w:sz="4" w:space="0"/>
            </w:tcBorders>
            <w:noWrap/>
            <w:vAlign w:val="center"/>
          </w:tcPr>
          <w:p w14:paraId="5FDCE2D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710C1E1E">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3" w:type="pct"/>
            <w:tcBorders>
              <w:top w:val="single" w:color="000000" w:sz="4" w:space="0"/>
              <w:left w:val="single" w:color="000000" w:sz="4" w:space="0"/>
              <w:bottom w:val="single" w:color="000000" w:sz="4" w:space="0"/>
              <w:right w:val="single" w:color="000000" w:sz="4" w:space="0"/>
            </w:tcBorders>
            <w:noWrap/>
            <w:vAlign w:val="center"/>
          </w:tcPr>
          <w:p w14:paraId="68384CC2">
            <w:pPr>
              <w:widowControl/>
              <w:spacing w:before="0" w:beforeLines="0"/>
              <w:ind w:firstLine="0" w:firstLineChars="0"/>
              <w:textAlignment w:val="center"/>
              <w:rPr>
                <w:rFonts w:hint="eastAsia" w:cs="宋体"/>
                <w:color w:val="000000"/>
                <w:kern w:val="0"/>
                <w:sz w:val="18"/>
                <w:szCs w:val="18"/>
                <w:lang w:bidi="ar"/>
              </w:rPr>
            </w:pPr>
          </w:p>
        </w:tc>
      </w:tr>
      <w:tr w14:paraId="3E0BFEEB">
        <w:tblPrEx>
          <w:tblCellMar>
            <w:top w:w="0" w:type="dxa"/>
            <w:left w:w="108" w:type="dxa"/>
            <w:bottom w:w="0" w:type="dxa"/>
            <w:right w:w="108" w:type="dxa"/>
          </w:tblCellMar>
        </w:tblPrEx>
        <w:tc>
          <w:tcPr>
            <w:tcW w:w="608" w:type="pct"/>
            <w:vMerge w:val="continue"/>
            <w:tcBorders>
              <w:left w:val="single" w:color="auto" w:sz="4" w:space="0"/>
              <w:right w:val="single" w:color="auto" w:sz="4" w:space="0"/>
            </w:tcBorders>
            <w:vAlign w:val="center"/>
          </w:tcPr>
          <w:p w14:paraId="5DA32E34">
            <w:pPr>
              <w:widowControl/>
              <w:spacing w:before="0" w:beforeLines="0"/>
              <w:ind w:firstLine="0" w:firstLineChars="0"/>
              <w:rPr>
                <w:rFonts w:hint="eastAsia" w:cs="宋体"/>
                <w:color w:val="000000"/>
                <w:sz w:val="18"/>
                <w:szCs w:val="18"/>
              </w:rPr>
            </w:pPr>
          </w:p>
        </w:tc>
        <w:tc>
          <w:tcPr>
            <w:tcW w:w="612" w:type="pct"/>
            <w:vMerge w:val="continue"/>
            <w:tcBorders>
              <w:top w:val="single" w:color="auto" w:sz="4" w:space="0"/>
              <w:left w:val="single" w:color="auto" w:sz="4" w:space="0"/>
              <w:bottom w:val="single" w:color="auto" w:sz="4" w:space="0"/>
              <w:right w:val="single" w:color="auto" w:sz="4" w:space="0"/>
            </w:tcBorders>
            <w:vAlign w:val="center"/>
          </w:tcPr>
          <w:p w14:paraId="6D13E30D">
            <w:pPr>
              <w:widowControl/>
              <w:spacing w:before="0" w:beforeLines="0"/>
              <w:ind w:firstLine="0" w:firstLineChars="0"/>
              <w:textAlignment w:val="center"/>
              <w:rPr>
                <w:rFonts w:hint="eastAsia" w:cs="宋体"/>
                <w:color w:val="000000"/>
                <w:kern w:val="0"/>
                <w:sz w:val="18"/>
                <w:szCs w:val="18"/>
                <w:lang w:bidi="ar"/>
              </w:rPr>
            </w:pPr>
          </w:p>
        </w:tc>
        <w:tc>
          <w:tcPr>
            <w:tcW w:w="1743" w:type="pct"/>
            <w:tcBorders>
              <w:top w:val="single" w:color="auto" w:sz="4" w:space="0"/>
              <w:left w:val="single" w:color="auto" w:sz="4" w:space="0"/>
              <w:bottom w:val="single" w:color="auto" w:sz="4" w:space="0"/>
              <w:right w:val="single" w:color="auto" w:sz="4" w:space="0"/>
            </w:tcBorders>
            <w:noWrap/>
            <w:vAlign w:val="center"/>
          </w:tcPr>
          <w:p w14:paraId="78F070A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固碳服务变化情况</w:t>
            </w:r>
          </w:p>
        </w:tc>
        <w:tc>
          <w:tcPr>
            <w:tcW w:w="653" w:type="pct"/>
            <w:tcBorders>
              <w:top w:val="single" w:color="000000" w:sz="4" w:space="0"/>
              <w:left w:val="single" w:color="auto" w:sz="4" w:space="0"/>
              <w:bottom w:val="single" w:color="000000" w:sz="4" w:space="0"/>
              <w:right w:val="single" w:color="000000" w:sz="4" w:space="0"/>
            </w:tcBorders>
            <w:noWrap/>
            <w:vAlign w:val="center"/>
          </w:tcPr>
          <w:p w14:paraId="7A9067C1">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1427C5B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3" w:type="pct"/>
            <w:tcBorders>
              <w:top w:val="single" w:color="000000" w:sz="4" w:space="0"/>
              <w:left w:val="single" w:color="000000" w:sz="4" w:space="0"/>
              <w:bottom w:val="single" w:color="000000" w:sz="4" w:space="0"/>
              <w:right w:val="single" w:color="000000" w:sz="4" w:space="0"/>
            </w:tcBorders>
            <w:noWrap/>
            <w:vAlign w:val="center"/>
          </w:tcPr>
          <w:p w14:paraId="53793E1D">
            <w:pPr>
              <w:widowControl/>
              <w:spacing w:before="0" w:beforeLines="0"/>
              <w:ind w:firstLine="0" w:firstLineChars="0"/>
              <w:textAlignment w:val="center"/>
              <w:rPr>
                <w:rFonts w:hint="eastAsia" w:cs="宋体"/>
                <w:color w:val="000000"/>
                <w:kern w:val="0"/>
                <w:sz w:val="18"/>
                <w:szCs w:val="18"/>
                <w:lang w:bidi="ar"/>
              </w:rPr>
            </w:pPr>
          </w:p>
        </w:tc>
      </w:tr>
      <w:tr w14:paraId="3A63689C">
        <w:tblPrEx>
          <w:tblCellMar>
            <w:top w:w="0" w:type="dxa"/>
            <w:left w:w="108" w:type="dxa"/>
            <w:bottom w:w="0" w:type="dxa"/>
            <w:right w:w="108" w:type="dxa"/>
          </w:tblCellMar>
        </w:tblPrEx>
        <w:tc>
          <w:tcPr>
            <w:tcW w:w="608" w:type="pct"/>
            <w:vMerge w:val="continue"/>
            <w:tcBorders>
              <w:left w:val="single" w:color="auto" w:sz="4" w:space="0"/>
              <w:right w:val="single" w:color="auto" w:sz="4" w:space="0"/>
            </w:tcBorders>
            <w:vAlign w:val="center"/>
          </w:tcPr>
          <w:p w14:paraId="3630E97C">
            <w:pPr>
              <w:widowControl/>
              <w:spacing w:before="0" w:beforeLines="0"/>
              <w:ind w:firstLine="0" w:firstLineChars="0"/>
              <w:rPr>
                <w:rFonts w:hint="eastAsia" w:cs="宋体"/>
                <w:color w:val="000000"/>
                <w:kern w:val="0"/>
                <w:sz w:val="18"/>
                <w:szCs w:val="18"/>
                <w:lang w:bidi="ar"/>
              </w:rPr>
            </w:pPr>
          </w:p>
        </w:tc>
        <w:tc>
          <w:tcPr>
            <w:tcW w:w="612" w:type="pct"/>
            <w:vMerge w:val="continue"/>
            <w:tcBorders>
              <w:top w:val="single" w:color="auto" w:sz="4" w:space="0"/>
              <w:left w:val="single" w:color="auto" w:sz="4" w:space="0"/>
              <w:bottom w:val="single" w:color="auto" w:sz="4" w:space="0"/>
              <w:right w:val="single" w:color="auto" w:sz="4" w:space="0"/>
            </w:tcBorders>
            <w:vAlign w:val="center"/>
          </w:tcPr>
          <w:p w14:paraId="7461F4A2">
            <w:pPr>
              <w:widowControl/>
              <w:spacing w:before="0" w:beforeLines="0"/>
              <w:ind w:firstLine="0" w:firstLineChars="0"/>
              <w:textAlignment w:val="center"/>
              <w:rPr>
                <w:rFonts w:hint="eastAsia" w:cs="宋体"/>
                <w:color w:val="000000"/>
                <w:kern w:val="0"/>
                <w:sz w:val="18"/>
                <w:szCs w:val="18"/>
                <w:lang w:bidi="ar"/>
              </w:rPr>
            </w:pPr>
          </w:p>
        </w:tc>
        <w:tc>
          <w:tcPr>
            <w:tcW w:w="1743" w:type="pct"/>
            <w:tcBorders>
              <w:top w:val="single" w:color="auto" w:sz="4" w:space="0"/>
              <w:left w:val="single" w:color="auto" w:sz="4" w:space="0"/>
              <w:bottom w:val="single" w:color="auto" w:sz="4" w:space="0"/>
              <w:right w:val="single" w:color="auto" w:sz="4" w:space="0"/>
            </w:tcBorders>
            <w:noWrap/>
            <w:vAlign w:val="center"/>
          </w:tcPr>
          <w:p w14:paraId="16EC81C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物种丰富度变化情况</w:t>
            </w:r>
          </w:p>
        </w:tc>
        <w:tc>
          <w:tcPr>
            <w:tcW w:w="653" w:type="pct"/>
            <w:tcBorders>
              <w:top w:val="single" w:color="000000" w:sz="4" w:space="0"/>
              <w:left w:val="single" w:color="auto" w:sz="4" w:space="0"/>
              <w:bottom w:val="single" w:color="000000" w:sz="4" w:space="0"/>
              <w:right w:val="single" w:color="000000" w:sz="4" w:space="0"/>
            </w:tcBorders>
            <w:noWrap/>
            <w:vAlign w:val="center"/>
          </w:tcPr>
          <w:p w14:paraId="2C84942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5CBFD05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3" w:type="pct"/>
            <w:tcBorders>
              <w:top w:val="single" w:color="000000" w:sz="4" w:space="0"/>
              <w:left w:val="single" w:color="000000" w:sz="4" w:space="0"/>
              <w:bottom w:val="single" w:color="000000" w:sz="4" w:space="0"/>
              <w:right w:val="single" w:color="000000" w:sz="4" w:space="0"/>
            </w:tcBorders>
            <w:noWrap/>
            <w:vAlign w:val="center"/>
          </w:tcPr>
          <w:p w14:paraId="160C4398">
            <w:pPr>
              <w:widowControl/>
              <w:spacing w:before="0" w:beforeLines="0"/>
              <w:ind w:firstLine="0" w:firstLineChars="0"/>
              <w:textAlignment w:val="center"/>
              <w:rPr>
                <w:rFonts w:hint="eastAsia" w:cs="宋体"/>
                <w:color w:val="000000"/>
                <w:kern w:val="0"/>
                <w:sz w:val="18"/>
                <w:szCs w:val="18"/>
                <w:lang w:bidi="ar"/>
              </w:rPr>
            </w:pPr>
          </w:p>
        </w:tc>
      </w:tr>
      <w:tr w14:paraId="27138262">
        <w:tblPrEx>
          <w:tblCellMar>
            <w:top w:w="0" w:type="dxa"/>
            <w:left w:w="108" w:type="dxa"/>
            <w:bottom w:w="0" w:type="dxa"/>
            <w:right w:w="108" w:type="dxa"/>
          </w:tblCellMar>
        </w:tblPrEx>
        <w:tc>
          <w:tcPr>
            <w:tcW w:w="608" w:type="pct"/>
            <w:vMerge w:val="continue"/>
            <w:tcBorders>
              <w:left w:val="single" w:color="auto" w:sz="4" w:space="0"/>
              <w:right w:val="single" w:color="auto" w:sz="4" w:space="0"/>
            </w:tcBorders>
            <w:vAlign w:val="center"/>
          </w:tcPr>
          <w:p w14:paraId="04FD08CA">
            <w:pPr>
              <w:widowControl/>
              <w:spacing w:before="0" w:beforeLines="0"/>
              <w:ind w:firstLine="0" w:firstLineChars="0"/>
              <w:rPr>
                <w:rFonts w:hint="eastAsia" w:cs="宋体"/>
                <w:color w:val="000000"/>
                <w:kern w:val="0"/>
                <w:sz w:val="18"/>
                <w:szCs w:val="18"/>
                <w:lang w:bidi="ar"/>
              </w:rPr>
            </w:pPr>
          </w:p>
        </w:tc>
        <w:tc>
          <w:tcPr>
            <w:tcW w:w="612" w:type="pct"/>
            <w:vMerge w:val="continue"/>
            <w:tcBorders>
              <w:top w:val="single" w:color="auto" w:sz="4" w:space="0"/>
              <w:left w:val="single" w:color="000000" w:sz="4" w:space="0"/>
              <w:bottom w:val="single" w:color="auto" w:sz="4" w:space="0"/>
              <w:right w:val="single" w:color="000000" w:sz="4" w:space="0"/>
            </w:tcBorders>
            <w:vAlign w:val="center"/>
          </w:tcPr>
          <w:p w14:paraId="1107D2E6">
            <w:pPr>
              <w:widowControl/>
              <w:spacing w:before="0" w:beforeLines="0"/>
              <w:ind w:firstLine="0" w:firstLineChars="0"/>
              <w:textAlignment w:val="center"/>
              <w:rPr>
                <w:rFonts w:hint="eastAsia" w:cs="宋体"/>
                <w:color w:val="000000"/>
                <w:kern w:val="0"/>
                <w:sz w:val="18"/>
                <w:szCs w:val="18"/>
                <w:lang w:bidi="ar"/>
              </w:rPr>
            </w:pPr>
          </w:p>
        </w:tc>
        <w:tc>
          <w:tcPr>
            <w:tcW w:w="1743" w:type="pct"/>
            <w:tcBorders>
              <w:top w:val="single" w:color="auto" w:sz="4" w:space="0"/>
              <w:left w:val="nil"/>
              <w:bottom w:val="single" w:color="000000" w:sz="4" w:space="0"/>
              <w:right w:val="single" w:color="000000" w:sz="4" w:space="0"/>
            </w:tcBorders>
            <w:noWrap/>
            <w:vAlign w:val="center"/>
          </w:tcPr>
          <w:p w14:paraId="0BCB40B4">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w:t>
            </w:r>
          </w:p>
        </w:tc>
        <w:tc>
          <w:tcPr>
            <w:tcW w:w="653" w:type="pct"/>
            <w:tcBorders>
              <w:top w:val="single" w:color="000000" w:sz="4" w:space="0"/>
              <w:left w:val="single" w:color="000000" w:sz="4" w:space="0"/>
              <w:bottom w:val="single" w:color="000000" w:sz="4" w:space="0"/>
              <w:right w:val="single" w:color="000000" w:sz="4" w:space="0"/>
            </w:tcBorders>
            <w:noWrap/>
            <w:vAlign w:val="center"/>
          </w:tcPr>
          <w:p w14:paraId="3C77EEB0">
            <w:pPr>
              <w:widowControl/>
              <w:spacing w:before="0" w:beforeLines="0"/>
              <w:ind w:firstLine="0" w:firstLineChars="0"/>
              <w:textAlignment w:val="center"/>
              <w:rPr>
                <w:rFonts w:hint="eastAsia" w:cs="宋体"/>
                <w:color w:val="000000"/>
                <w:kern w:val="0"/>
                <w:sz w:val="18"/>
                <w:szCs w:val="18"/>
                <w:lang w:bidi="ar"/>
              </w:rPr>
            </w:pP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22161065">
            <w:pPr>
              <w:widowControl/>
              <w:spacing w:before="0" w:beforeLines="0"/>
              <w:ind w:firstLine="0" w:firstLineChars="0"/>
              <w:textAlignment w:val="center"/>
              <w:rPr>
                <w:rFonts w:hint="eastAsia" w:cs="宋体"/>
                <w:color w:val="000000"/>
                <w:kern w:val="0"/>
                <w:sz w:val="18"/>
                <w:szCs w:val="18"/>
                <w:lang w:bidi="ar"/>
              </w:rPr>
            </w:pPr>
          </w:p>
        </w:tc>
        <w:tc>
          <w:tcPr>
            <w:tcW w:w="433" w:type="pct"/>
            <w:tcBorders>
              <w:top w:val="single" w:color="000000" w:sz="4" w:space="0"/>
              <w:left w:val="single" w:color="000000" w:sz="4" w:space="0"/>
              <w:bottom w:val="single" w:color="000000" w:sz="4" w:space="0"/>
              <w:right w:val="single" w:color="000000" w:sz="4" w:space="0"/>
            </w:tcBorders>
            <w:noWrap/>
            <w:vAlign w:val="center"/>
          </w:tcPr>
          <w:p w14:paraId="43C4483C">
            <w:pPr>
              <w:widowControl/>
              <w:spacing w:before="0" w:beforeLines="0"/>
              <w:ind w:firstLine="0" w:firstLineChars="0"/>
              <w:textAlignment w:val="center"/>
              <w:rPr>
                <w:rFonts w:hint="eastAsia" w:cs="宋体"/>
                <w:color w:val="000000"/>
                <w:kern w:val="0"/>
                <w:sz w:val="18"/>
                <w:szCs w:val="18"/>
                <w:lang w:bidi="ar"/>
              </w:rPr>
            </w:pPr>
          </w:p>
        </w:tc>
      </w:tr>
      <w:tr w14:paraId="47206CF3">
        <w:tblPrEx>
          <w:tblCellMar>
            <w:top w:w="0" w:type="dxa"/>
            <w:left w:w="108" w:type="dxa"/>
            <w:bottom w:w="0" w:type="dxa"/>
            <w:right w:w="108" w:type="dxa"/>
          </w:tblCellMar>
        </w:tblPrEx>
        <w:tc>
          <w:tcPr>
            <w:tcW w:w="608" w:type="pct"/>
            <w:vMerge w:val="continue"/>
            <w:tcBorders>
              <w:left w:val="single" w:color="auto" w:sz="4" w:space="0"/>
              <w:right w:val="single" w:color="auto" w:sz="4" w:space="0"/>
            </w:tcBorders>
            <w:vAlign w:val="center"/>
          </w:tcPr>
          <w:p w14:paraId="4D29A273">
            <w:pPr>
              <w:widowControl/>
              <w:spacing w:before="0" w:beforeLines="0"/>
              <w:ind w:firstLine="0" w:firstLineChars="0"/>
              <w:rPr>
                <w:rFonts w:hint="eastAsia" w:cs="宋体"/>
                <w:color w:val="000000"/>
                <w:sz w:val="18"/>
                <w:szCs w:val="18"/>
              </w:rPr>
            </w:pPr>
          </w:p>
        </w:tc>
        <w:tc>
          <w:tcPr>
            <w:tcW w:w="612" w:type="pct"/>
            <w:vMerge w:val="restart"/>
            <w:tcBorders>
              <w:top w:val="single" w:color="auto" w:sz="4" w:space="0"/>
              <w:left w:val="single" w:color="000000" w:sz="4" w:space="0"/>
              <w:bottom w:val="single" w:color="auto" w:sz="4" w:space="0"/>
              <w:right w:val="single" w:color="000000" w:sz="4" w:space="0"/>
            </w:tcBorders>
            <w:vAlign w:val="center"/>
          </w:tcPr>
          <w:p w14:paraId="21193C28">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景观格局</w:t>
            </w:r>
          </w:p>
        </w:tc>
        <w:tc>
          <w:tcPr>
            <w:tcW w:w="1743" w:type="pct"/>
            <w:tcBorders>
              <w:top w:val="single" w:color="000000" w:sz="4" w:space="0"/>
              <w:left w:val="nil"/>
              <w:bottom w:val="single" w:color="000000" w:sz="4" w:space="0"/>
              <w:right w:val="single" w:color="000000" w:sz="4" w:space="0"/>
            </w:tcBorders>
            <w:noWrap/>
            <w:vAlign w:val="center"/>
          </w:tcPr>
          <w:p w14:paraId="0A95F20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景观破碎度变化情况</w:t>
            </w:r>
          </w:p>
        </w:tc>
        <w:tc>
          <w:tcPr>
            <w:tcW w:w="653" w:type="pct"/>
            <w:tcBorders>
              <w:top w:val="single" w:color="000000" w:sz="4" w:space="0"/>
              <w:left w:val="single" w:color="000000" w:sz="4" w:space="0"/>
              <w:bottom w:val="single" w:color="000000" w:sz="4" w:space="0"/>
              <w:right w:val="single" w:color="000000" w:sz="4" w:space="0"/>
            </w:tcBorders>
            <w:noWrap/>
            <w:vAlign w:val="center"/>
          </w:tcPr>
          <w:p w14:paraId="75A3DF4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5E9D6E3C">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3" w:type="pct"/>
            <w:tcBorders>
              <w:top w:val="single" w:color="000000" w:sz="4" w:space="0"/>
              <w:left w:val="single" w:color="000000" w:sz="4" w:space="0"/>
              <w:bottom w:val="single" w:color="000000" w:sz="4" w:space="0"/>
              <w:right w:val="single" w:color="000000" w:sz="4" w:space="0"/>
            </w:tcBorders>
            <w:noWrap/>
            <w:vAlign w:val="center"/>
          </w:tcPr>
          <w:p w14:paraId="1813FC65">
            <w:pPr>
              <w:widowControl/>
              <w:spacing w:before="0" w:beforeLines="0"/>
              <w:ind w:firstLine="0" w:firstLineChars="0"/>
              <w:textAlignment w:val="center"/>
              <w:rPr>
                <w:rFonts w:hint="eastAsia" w:cs="宋体"/>
                <w:color w:val="000000"/>
                <w:kern w:val="0"/>
                <w:sz w:val="18"/>
                <w:szCs w:val="18"/>
                <w:lang w:bidi="ar"/>
              </w:rPr>
            </w:pPr>
          </w:p>
        </w:tc>
      </w:tr>
      <w:tr w14:paraId="6CF4E5A5">
        <w:tblPrEx>
          <w:tblCellMar>
            <w:top w:w="0" w:type="dxa"/>
            <w:left w:w="108" w:type="dxa"/>
            <w:bottom w:w="0" w:type="dxa"/>
            <w:right w:w="108" w:type="dxa"/>
          </w:tblCellMar>
        </w:tblPrEx>
        <w:tc>
          <w:tcPr>
            <w:tcW w:w="608" w:type="pct"/>
            <w:vMerge w:val="continue"/>
            <w:tcBorders>
              <w:left w:val="single" w:color="auto" w:sz="4" w:space="0"/>
              <w:right w:val="single" w:color="auto" w:sz="4" w:space="0"/>
            </w:tcBorders>
            <w:vAlign w:val="center"/>
          </w:tcPr>
          <w:p w14:paraId="2939F370">
            <w:pPr>
              <w:widowControl/>
              <w:spacing w:before="0" w:beforeLines="0"/>
              <w:ind w:firstLine="0" w:firstLineChars="0"/>
              <w:rPr>
                <w:rFonts w:hint="eastAsia" w:cs="宋体"/>
                <w:color w:val="000000"/>
                <w:sz w:val="18"/>
                <w:szCs w:val="18"/>
              </w:rPr>
            </w:pPr>
          </w:p>
        </w:tc>
        <w:tc>
          <w:tcPr>
            <w:tcW w:w="612" w:type="pct"/>
            <w:vMerge w:val="continue"/>
            <w:tcBorders>
              <w:top w:val="single" w:color="auto" w:sz="4" w:space="0"/>
              <w:left w:val="single" w:color="000000" w:sz="4" w:space="0"/>
              <w:bottom w:val="single" w:color="auto" w:sz="4" w:space="0"/>
              <w:right w:val="single" w:color="000000" w:sz="4" w:space="0"/>
            </w:tcBorders>
            <w:vAlign w:val="center"/>
          </w:tcPr>
          <w:p w14:paraId="13454135">
            <w:pPr>
              <w:widowControl/>
              <w:spacing w:before="0" w:beforeLines="0"/>
              <w:ind w:firstLine="0" w:firstLineChars="0"/>
              <w:rPr>
                <w:rFonts w:hint="eastAsia" w:cs="宋体"/>
                <w:color w:val="000000"/>
                <w:sz w:val="18"/>
                <w:szCs w:val="18"/>
              </w:rPr>
            </w:pPr>
          </w:p>
        </w:tc>
        <w:tc>
          <w:tcPr>
            <w:tcW w:w="1743" w:type="pct"/>
            <w:tcBorders>
              <w:top w:val="single" w:color="000000" w:sz="4" w:space="0"/>
              <w:left w:val="nil"/>
              <w:bottom w:val="single" w:color="000000" w:sz="4" w:space="0"/>
              <w:right w:val="single" w:color="000000" w:sz="4" w:space="0"/>
            </w:tcBorders>
            <w:noWrap/>
            <w:vAlign w:val="center"/>
          </w:tcPr>
          <w:p w14:paraId="3220D60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景观多样性变化情况</w:t>
            </w:r>
          </w:p>
        </w:tc>
        <w:tc>
          <w:tcPr>
            <w:tcW w:w="653" w:type="pct"/>
            <w:tcBorders>
              <w:top w:val="single" w:color="000000" w:sz="4" w:space="0"/>
              <w:left w:val="single" w:color="000000" w:sz="4" w:space="0"/>
              <w:bottom w:val="single" w:color="000000" w:sz="4" w:space="0"/>
              <w:right w:val="single" w:color="000000" w:sz="4" w:space="0"/>
            </w:tcBorders>
            <w:noWrap/>
            <w:vAlign w:val="center"/>
          </w:tcPr>
          <w:p w14:paraId="344CD74D">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0D193670">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3" w:type="pct"/>
            <w:tcBorders>
              <w:top w:val="single" w:color="000000" w:sz="4" w:space="0"/>
              <w:left w:val="single" w:color="000000" w:sz="4" w:space="0"/>
              <w:bottom w:val="single" w:color="000000" w:sz="4" w:space="0"/>
              <w:right w:val="single" w:color="000000" w:sz="4" w:space="0"/>
            </w:tcBorders>
            <w:noWrap/>
            <w:vAlign w:val="center"/>
          </w:tcPr>
          <w:p w14:paraId="628197EB">
            <w:pPr>
              <w:widowControl/>
              <w:spacing w:before="0" w:beforeLines="0"/>
              <w:ind w:firstLine="0" w:firstLineChars="0"/>
              <w:textAlignment w:val="center"/>
              <w:rPr>
                <w:rFonts w:hint="eastAsia" w:cs="宋体"/>
                <w:color w:val="000000"/>
                <w:kern w:val="0"/>
                <w:sz w:val="18"/>
                <w:szCs w:val="18"/>
                <w:lang w:bidi="ar"/>
              </w:rPr>
            </w:pPr>
          </w:p>
        </w:tc>
      </w:tr>
      <w:tr w14:paraId="75E99493">
        <w:tblPrEx>
          <w:tblCellMar>
            <w:top w:w="0" w:type="dxa"/>
            <w:left w:w="108" w:type="dxa"/>
            <w:bottom w:w="0" w:type="dxa"/>
            <w:right w:w="108" w:type="dxa"/>
          </w:tblCellMar>
        </w:tblPrEx>
        <w:tc>
          <w:tcPr>
            <w:tcW w:w="608" w:type="pct"/>
            <w:vMerge w:val="continue"/>
            <w:tcBorders>
              <w:left w:val="single" w:color="auto" w:sz="4" w:space="0"/>
              <w:right w:val="single" w:color="auto" w:sz="4" w:space="0"/>
            </w:tcBorders>
            <w:vAlign w:val="center"/>
          </w:tcPr>
          <w:p w14:paraId="382C5204">
            <w:pPr>
              <w:widowControl/>
              <w:spacing w:before="0" w:beforeLines="0"/>
              <w:ind w:firstLine="0" w:firstLineChars="0"/>
              <w:rPr>
                <w:rFonts w:hint="eastAsia" w:cs="宋体"/>
                <w:color w:val="000000"/>
                <w:sz w:val="18"/>
                <w:szCs w:val="18"/>
              </w:rPr>
            </w:pPr>
          </w:p>
        </w:tc>
        <w:tc>
          <w:tcPr>
            <w:tcW w:w="612" w:type="pct"/>
            <w:vMerge w:val="continue"/>
            <w:tcBorders>
              <w:top w:val="single" w:color="auto" w:sz="4" w:space="0"/>
              <w:left w:val="single" w:color="000000" w:sz="4" w:space="0"/>
              <w:bottom w:val="single" w:color="auto" w:sz="4" w:space="0"/>
              <w:right w:val="single" w:color="000000" w:sz="4" w:space="0"/>
            </w:tcBorders>
            <w:vAlign w:val="center"/>
          </w:tcPr>
          <w:p w14:paraId="29604621">
            <w:pPr>
              <w:widowControl/>
              <w:spacing w:before="0" w:beforeLines="0"/>
              <w:ind w:firstLine="0" w:firstLineChars="0"/>
              <w:rPr>
                <w:rFonts w:hint="eastAsia" w:cs="宋体"/>
                <w:color w:val="000000"/>
                <w:sz w:val="18"/>
                <w:szCs w:val="18"/>
              </w:rPr>
            </w:pPr>
          </w:p>
        </w:tc>
        <w:tc>
          <w:tcPr>
            <w:tcW w:w="1743" w:type="pct"/>
            <w:tcBorders>
              <w:top w:val="single" w:color="000000" w:sz="4" w:space="0"/>
              <w:left w:val="nil"/>
              <w:bottom w:val="single" w:color="000000" w:sz="4" w:space="0"/>
              <w:right w:val="single" w:color="000000" w:sz="4" w:space="0"/>
            </w:tcBorders>
            <w:noWrap/>
            <w:vAlign w:val="center"/>
          </w:tcPr>
          <w:p w14:paraId="092A1951">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景观稳定性变化情况</w:t>
            </w:r>
          </w:p>
        </w:tc>
        <w:tc>
          <w:tcPr>
            <w:tcW w:w="653" w:type="pct"/>
            <w:tcBorders>
              <w:top w:val="single" w:color="000000" w:sz="4" w:space="0"/>
              <w:left w:val="single" w:color="000000" w:sz="4" w:space="0"/>
              <w:bottom w:val="single" w:color="000000" w:sz="4" w:space="0"/>
              <w:right w:val="single" w:color="000000" w:sz="4" w:space="0"/>
            </w:tcBorders>
            <w:noWrap/>
            <w:vAlign w:val="center"/>
          </w:tcPr>
          <w:p w14:paraId="04C3CDDE">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000000" w:sz="4" w:space="0"/>
              <w:right w:val="single" w:color="000000" w:sz="4" w:space="0"/>
            </w:tcBorders>
            <w:noWrap/>
            <w:vAlign w:val="center"/>
          </w:tcPr>
          <w:p w14:paraId="10FCE05B">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3" w:type="pct"/>
            <w:tcBorders>
              <w:top w:val="single" w:color="000000" w:sz="4" w:space="0"/>
              <w:left w:val="single" w:color="000000" w:sz="4" w:space="0"/>
              <w:bottom w:val="single" w:color="000000" w:sz="4" w:space="0"/>
              <w:right w:val="single" w:color="000000" w:sz="4" w:space="0"/>
            </w:tcBorders>
            <w:noWrap/>
            <w:vAlign w:val="center"/>
          </w:tcPr>
          <w:p w14:paraId="3C2D3769">
            <w:pPr>
              <w:widowControl/>
              <w:spacing w:before="0" w:beforeLines="0"/>
              <w:ind w:firstLine="0" w:firstLineChars="0"/>
              <w:textAlignment w:val="center"/>
              <w:rPr>
                <w:rFonts w:hint="eastAsia" w:cs="宋体"/>
                <w:color w:val="000000"/>
                <w:kern w:val="0"/>
                <w:sz w:val="18"/>
                <w:szCs w:val="18"/>
                <w:lang w:bidi="ar"/>
              </w:rPr>
            </w:pPr>
          </w:p>
        </w:tc>
      </w:tr>
      <w:tr w14:paraId="781E409E">
        <w:tblPrEx>
          <w:tblCellMar>
            <w:top w:w="0" w:type="dxa"/>
            <w:left w:w="108" w:type="dxa"/>
            <w:bottom w:w="0" w:type="dxa"/>
            <w:right w:w="108" w:type="dxa"/>
          </w:tblCellMar>
        </w:tblPrEx>
        <w:tc>
          <w:tcPr>
            <w:tcW w:w="608" w:type="pct"/>
            <w:vMerge w:val="continue"/>
            <w:tcBorders>
              <w:left w:val="single" w:color="auto" w:sz="4" w:space="0"/>
              <w:right w:val="single" w:color="auto" w:sz="4" w:space="0"/>
            </w:tcBorders>
            <w:vAlign w:val="center"/>
          </w:tcPr>
          <w:p w14:paraId="7064ABD1">
            <w:pPr>
              <w:widowControl/>
              <w:spacing w:before="0" w:beforeLines="0"/>
              <w:ind w:firstLine="0" w:firstLineChars="0"/>
              <w:rPr>
                <w:rFonts w:hint="eastAsia" w:cs="宋体"/>
                <w:color w:val="000000"/>
                <w:sz w:val="18"/>
                <w:szCs w:val="18"/>
              </w:rPr>
            </w:pPr>
          </w:p>
        </w:tc>
        <w:tc>
          <w:tcPr>
            <w:tcW w:w="612" w:type="pct"/>
            <w:vMerge w:val="continue"/>
            <w:tcBorders>
              <w:top w:val="single" w:color="auto" w:sz="4" w:space="0"/>
              <w:left w:val="single" w:color="000000" w:sz="4" w:space="0"/>
              <w:bottom w:val="single" w:color="auto" w:sz="4" w:space="0"/>
              <w:right w:val="single" w:color="000000" w:sz="4" w:space="0"/>
            </w:tcBorders>
            <w:vAlign w:val="center"/>
          </w:tcPr>
          <w:p w14:paraId="7ADFEBBE">
            <w:pPr>
              <w:widowControl/>
              <w:spacing w:before="0" w:beforeLines="0"/>
              <w:ind w:firstLine="0" w:firstLineChars="0"/>
              <w:rPr>
                <w:rFonts w:hint="eastAsia" w:cs="宋体"/>
                <w:color w:val="000000"/>
                <w:sz w:val="18"/>
                <w:szCs w:val="18"/>
              </w:rPr>
            </w:pPr>
          </w:p>
        </w:tc>
        <w:tc>
          <w:tcPr>
            <w:tcW w:w="1743" w:type="pct"/>
            <w:tcBorders>
              <w:top w:val="single" w:color="000000" w:sz="4" w:space="0"/>
              <w:left w:val="nil"/>
              <w:bottom w:val="single" w:color="000000" w:sz="4" w:space="0"/>
              <w:right w:val="single" w:color="000000" w:sz="4" w:space="0"/>
            </w:tcBorders>
            <w:noWrap/>
            <w:vAlign w:val="center"/>
          </w:tcPr>
          <w:p w14:paraId="33E8BC02">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自然生境连通性变化情况</w:t>
            </w:r>
          </w:p>
        </w:tc>
        <w:tc>
          <w:tcPr>
            <w:tcW w:w="653" w:type="pct"/>
            <w:tcBorders>
              <w:top w:val="single" w:color="000000" w:sz="4" w:space="0"/>
              <w:left w:val="single" w:color="000000" w:sz="4" w:space="0"/>
              <w:bottom w:val="single" w:color="auto" w:sz="4" w:space="0"/>
              <w:right w:val="single" w:color="000000" w:sz="4" w:space="0"/>
            </w:tcBorders>
            <w:noWrap/>
            <w:vAlign w:val="center"/>
          </w:tcPr>
          <w:p w14:paraId="39E196D1">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预期性</w:t>
            </w:r>
          </w:p>
        </w:tc>
        <w:tc>
          <w:tcPr>
            <w:tcW w:w="947" w:type="pct"/>
            <w:tcBorders>
              <w:top w:val="single" w:color="000000" w:sz="4" w:space="0"/>
              <w:left w:val="single" w:color="000000" w:sz="4" w:space="0"/>
              <w:bottom w:val="single" w:color="auto" w:sz="4" w:space="0"/>
              <w:right w:val="single" w:color="000000" w:sz="4" w:space="0"/>
            </w:tcBorders>
            <w:noWrap/>
            <w:vAlign w:val="center"/>
          </w:tcPr>
          <w:p w14:paraId="719A0322">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3" w:type="pct"/>
            <w:tcBorders>
              <w:top w:val="single" w:color="000000" w:sz="4" w:space="0"/>
              <w:left w:val="single" w:color="000000" w:sz="4" w:space="0"/>
              <w:bottom w:val="single" w:color="auto" w:sz="4" w:space="0"/>
              <w:right w:val="single" w:color="000000" w:sz="4" w:space="0"/>
            </w:tcBorders>
            <w:noWrap/>
            <w:vAlign w:val="center"/>
          </w:tcPr>
          <w:p w14:paraId="70A0DD1A">
            <w:pPr>
              <w:widowControl/>
              <w:spacing w:before="0" w:beforeLines="0"/>
              <w:ind w:firstLine="0" w:firstLineChars="0"/>
              <w:textAlignment w:val="center"/>
              <w:rPr>
                <w:rFonts w:hint="eastAsia" w:cs="宋体"/>
                <w:color w:val="000000"/>
                <w:kern w:val="0"/>
                <w:sz w:val="18"/>
                <w:szCs w:val="18"/>
                <w:lang w:bidi="ar"/>
              </w:rPr>
            </w:pPr>
          </w:p>
        </w:tc>
      </w:tr>
      <w:tr w14:paraId="68F6E003">
        <w:tblPrEx>
          <w:tblCellMar>
            <w:top w:w="0" w:type="dxa"/>
            <w:left w:w="108" w:type="dxa"/>
            <w:bottom w:w="0" w:type="dxa"/>
            <w:right w:w="108" w:type="dxa"/>
          </w:tblCellMar>
        </w:tblPrEx>
        <w:tc>
          <w:tcPr>
            <w:tcW w:w="608" w:type="pct"/>
            <w:vMerge w:val="continue"/>
            <w:tcBorders>
              <w:left w:val="single" w:color="auto" w:sz="4" w:space="0"/>
              <w:bottom w:val="nil"/>
              <w:right w:val="single" w:color="auto" w:sz="4" w:space="0"/>
            </w:tcBorders>
            <w:vAlign w:val="center"/>
          </w:tcPr>
          <w:p w14:paraId="28E05680">
            <w:pPr>
              <w:widowControl/>
              <w:spacing w:before="0" w:beforeLines="0"/>
              <w:ind w:firstLine="0" w:firstLineChars="0"/>
              <w:rPr>
                <w:rFonts w:hint="eastAsia" w:cs="宋体"/>
                <w:color w:val="000000"/>
                <w:sz w:val="18"/>
                <w:szCs w:val="18"/>
              </w:rPr>
            </w:pPr>
          </w:p>
        </w:tc>
        <w:tc>
          <w:tcPr>
            <w:tcW w:w="612" w:type="pct"/>
            <w:vMerge w:val="continue"/>
            <w:tcBorders>
              <w:top w:val="single" w:color="auto" w:sz="4" w:space="0"/>
              <w:left w:val="single" w:color="000000" w:sz="4" w:space="0"/>
              <w:bottom w:val="single" w:color="auto" w:sz="4" w:space="0"/>
              <w:right w:val="single" w:color="000000" w:sz="4" w:space="0"/>
            </w:tcBorders>
            <w:vAlign w:val="center"/>
          </w:tcPr>
          <w:p w14:paraId="4D5FECC8">
            <w:pPr>
              <w:widowControl/>
              <w:spacing w:before="0" w:beforeLines="0"/>
              <w:ind w:firstLine="0" w:firstLineChars="0"/>
              <w:rPr>
                <w:rFonts w:hint="eastAsia" w:cs="宋体"/>
                <w:color w:val="000000"/>
                <w:sz w:val="18"/>
                <w:szCs w:val="18"/>
              </w:rPr>
            </w:pPr>
          </w:p>
        </w:tc>
        <w:tc>
          <w:tcPr>
            <w:tcW w:w="1743" w:type="pct"/>
            <w:tcBorders>
              <w:top w:val="single" w:color="000000" w:sz="4" w:space="0"/>
              <w:left w:val="nil"/>
              <w:bottom w:val="single" w:color="000000" w:sz="4" w:space="0"/>
              <w:right w:val="single" w:color="auto" w:sz="4" w:space="0"/>
            </w:tcBorders>
            <w:noWrap/>
            <w:vAlign w:val="center"/>
          </w:tcPr>
          <w:p w14:paraId="51EF91BF">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w:t>
            </w:r>
          </w:p>
        </w:tc>
        <w:tc>
          <w:tcPr>
            <w:tcW w:w="653" w:type="pct"/>
            <w:tcBorders>
              <w:top w:val="single" w:color="auto" w:sz="4" w:space="0"/>
              <w:left w:val="single" w:color="auto" w:sz="4" w:space="0"/>
              <w:bottom w:val="single" w:color="auto" w:sz="4" w:space="0"/>
              <w:right w:val="single" w:color="auto" w:sz="4" w:space="0"/>
            </w:tcBorders>
            <w:noWrap/>
            <w:vAlign w:val="center"/>
          </w:tcPr>
          <w:p w14:paraId="4DDD8F25">
            <w:pPr>
              <w:widowControl/>
              <w:spacing w:before="0" w:beforeLines="0"/>
              <w:ind w:firstLine="0" w:firstLineChars="0"/>
              <w:textAlignment w:val="center"/>
              <w:rPr>
                <w:rFonts w:hint="eastAsia" w:cs="宋体"/>
                <w:color w:val="000000"/>
                <w:kern w:val="0"/>
                <w:sz w:val="18"/>
                <w:szCs w:val="18"/>
                <w:lang w:bidi="ar"/>
              </w:rPr>
            </w:pPr>
          </w:p>
        </w:tc>
        <w:tc>
          <w:tcPr>
            <w:tcW w:w="947" w:type="pct"/>
            <w:tcBorders>
              <w:top w:val="single" w:color="auto" w:sz="4" w:space="0"/>
              <w:left w:val="single" w:color="auto" w:sz="4" w:space="0"/>
              <w:bottom w:val="single" w:color="auto" w:sz="4" w:space="0"/>
              <w:right w:val="single" w:color="auto" w:sz="4" w:space="0"/>
            </w:tcBorders>
            <w:noWrap/>
            <w:vAlign w:val="center"/>
          </w:tcPr>
          <w:p w14:paraId="4F8A0F11">
            <w:pPr>
              <w:widowControl/>
              <w:spacing w:before="0" w:beforeLines="0"/>
              <w:ind w:firstLine="0" w:firstLineChars="0"/>
              <w:textAlignment w:val="center"/>
              <w:rPr>
                <w:rFonts w:hint="eastAsia" w:cs="宋体"/>
                <w:color w:val="000000"/>
                <w:kern w:val="0"/>
                <w:sz w:val="18"/>
                <w:szCs w:val="18"/>
                <w:lang w:bidi="ar"/>
              </w:rPr>
            </w:pPr>
          </w:p>
        </w:tc>
        <w:tc>
          <w:tcPr>
            <w:tcW w:w="433" w:type="pct"/>
            <w:tcBorders>
              <w:top w:val="single" w:color="auto" w:sz="4" w:space="0"/>
              <w:left w:val="single" w:color="auto" w:sz="4" w:space="0"/>
              <w:bottom w:val="single" w:color="auto" w:sz="4" w:space="0"/>
              <w:right w:val="single" w:color="auto" w:sz="4" w:space="0"/>
            </w:tcBorders>
            <w:noWrap/>
            <w:vAlign w:val="center"/>
          </w:tcPr>
          <w:p w14:paraId="1640FEB8">
            <w:pPr>
              <w:widowControl/>
              <w:spacing w:before="0" w:beforeLines="0"/>
              <w:ind w:firstLine="0" w:firstLineChars="0"/>
              <w:textAlignment w:val="center"/>
              <w:rPr>
                <w:rFonts w:hint="eastAsia" w:cs="宋体"/>
                <w:color w:val="000000"/>
                <w:kern w:val="0"/>
                <w:sz w:val="18"/>
                <w:szCs w:val="18"/>
                <w:lang w:bidi="ar"/>
              </w:rPr>
            </w:pPr>
          </w:p>
        </w:tc>
      </w:tr>
      <w:tr w14:paraId="60309977">
        <w:tblPrEx>
          <w:tblCellMar>
            <w:top w:w="0" w:type="dxa"/>
            <w:left w:w="108" w:type="dxa"/>
            <w:bottom w:w="0" w:type="dxa"/>
            <w:right w:w="108" w:type="dxa"/>
          </w:tblCellMar>
        </w:tblPrEx>
        <w:tc>
          <w:tcPr>
            <w:tcW w:w="608" w:type="pct"/>
            <w:vMerge w:val="restart"/>
            <w:tcBorders>
              <w:top w:val="single" w:color="000000" w:sz="4" w:space="0"/>
              <w:left w:val="single" w:color="000000" w:sz="4" w:space="0"/>
              <w:right w:val="nil"/>
            </w:tcBorders>
            <w:vAlign w:val="center"/>
          </w:tcPr>
          <w:p w14:paraId="78DBA67D">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经济</w:t>
            </w:r>
            <w:r>
              <w:rPr>
                <w:rStyle w:val="32"/>
                <w:sz w:val="18"/>
                <w:szCs w:val="18"/>
                <w:lang w:bidi="ar"/>
              </w:rPr>
              <w:t>社会效果类</w:t>
            </w:r>
          </w:p>
        </w:tc>
        <w:tc>
          <w:tcPr>
            <w:tcW w:w="612" w:type="pct"/>
            <w:vMerge w:val="restart"/>
            <w:tcBorders>
              <w:top w:val="single" w:color="auto" w:sz="4" w:space="0"/>
              <w:left w:val="single" w:color="000000" w:sz="4" w:space="0"/>
              <w:bottom w:val="single" w:color="auto" w:sz="4" w:space="0"/>
              <w:right w:val="single" w:color="000000" w:sz="4" w:space="0"/>
            </w:tcBorders>
            <w:vAlign w:val="center"/>
          </w:tcPr>
          <w:p w14:paraId="48051445">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社会效果类</w:t>
            </w:r>
          </w:p>
        </w:tc>
        <w:tc>
          <w:tcPr>
            <w:tcW w:w="1743" w:type="pct"/>
            <w:tcBorders>
              <w:top w:val="single" w:color="000000" w:sz="4" w:space="0"/>
              <w:left w:val="nil"/>
              <w:bottom w:val="single" w:color="000000" w:sz="4" w:space="0"/>
              <w:right w:val="single" w:color="auto" w:sz="4" w:space="0"/>
            </w:tcBorders>
            <w:vAlign w:val="center"/>
          </w:tcPr>
          <w:p w14:paraId="606FD43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人均公园绿地面积</w:t>
            </w:r>
          </w:p>
        </w:tc>
        <w:tc>
          <w:tcPr>
            <w:tcW w:w="653" w:type="pct"/>
            <w:tcBorders>
              <w:top w:val="single" w:color="auto" w:sz="4" w:space="0"/>
              <w:left w:val="single" w:color="auto" w:sz="4" w:space="0"/>
              <w:bottom w:val="single" w:color="auto" w:sz="4" w:space="0"/>
              <w:right w:val="single" w:color="auto" w:sz="4" w:space="0"/>
            </w:tcBorders>
            <w:noWrap/>
            <w:vAlign w:val="center"/>
          </w:tcPr>
          <w:p w14:paraId="0FCA4E0E">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auto" w:sz="4" w:space="0"/>
              <w:left w:val="single" w:color="auto" w:sz="4" w:space="0"/>
              <w:bottom w:val="single" w:color="auto" w:sz="4" w:space="0"/>
              <w:right w:val="single" w:color="auto" w:sz="4" w:space="0"/>
            </w:tcBorders>
            <w:noWrap/>
            <w:vAlign w:val="center"/>
          </w:tcPr>
          <w:p w14:paraId="0A83166A">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3" w:type="pct"/>
            <w:tcBorders>
              <w:top w:val="single" w:color="auto" w:sz="4" w:space="0"/>
              <w:left w:val="single" w:color="auto" w:sz="4" w:space="0"/>
              <w:bottom w:val="single" w:color="auto" w:sz="4" w:space="0"/>
              <w:right w:val="single" w:color="auto" w:sz="4" w:space="0"/>
            </w:tcBorders>
            <w:noWrap/>
            <w:vAlign w:val="center"/>
          </w:tcPr>
          <w:p w14:paraId="349891B2">
            <w:pPr>
              <w:widowControl/>
              <w:spacing w:before="0" w:beforeLines="0"/>
              <w:ind w:firstLine="0" w:firstLineChars="0"/>
              <w:textAlignment w:val="center"/>
              <w:rPr>
                <w:rFonts w:hint="eastAsia" w:cs="宋体"/>
                <w:color w:val="000000"/>
                <w:kern w:val="0"/>
                <w:sz w:val="18"/>
                <w:szCs w:val="18"/>
                <w:lang w:bidi="ar"/>
              </w:rPr>
            </w:pPr>
          </w:p>
        </w:tc>
      </w:tr>
      <w:tr w14:paraId="5783F265">
        <w:tblPrEx>
          <w:tblCellMar>
            <w:top w:w="0" w:type="dxa"/>
            <w:left w:w="108" w:type="dxa"/>
            <w:bottom w:w="0" w:type="dxa"/>
            <w:right w:w="108" w:type="dxa"/>
          </w:tblCellMar>
        </w:tblPrEx>
        <w:tc>
          <w:tcPr>
            <w:tcW w:w="608" w:type="pct"/>
            <w:vMerge w:val="continue"/>
            <w:tcBorders>
              <w:left w:val="single" w:color="000000" w:sz="4" w:space="0"/>
              <w:right w:val="nil"/>
            </w:tcBorders>
            <w:vAlign w:val="center"/>
          </w:tcPr>
          <w:p w14:paraId="049BBE44">
            <w:pPr>
              <w:widowControl/>
              <w:spacing w:before="0" w:beforeLines="0"/>
              <w:ind w:firstLine="0" w:firstLineChars="0"/>
              <w:rPr>
                <w:rFonts w:hint="eastAsia" w:cs="宋体"/>
                <w:color w:val="000000"/>
                <w:sz w:val="18"/>
                <w:szCs w:val="18"/>
              </w:rPr>
            </w:pPr>
          </w:p>
        </w:tc>
        <w:tc>
          <w:tcPr>
            <w:tcW w:w="612" w:type="pct"/>
            <w:vMerge w:val="continue"/>
            <w:tcBorders>
              <w:top w:val="single" w:color="auto" w:sz="4" w:space="0"/>
              <w:left w:val="single" w:color="000000" w:sz="4" w:space="0"/>
              <w:bottom w:val="single" w:color="auto" w:sz="4" w:space="0"/>
              <w:right w:val="single" w:color="000000" w:sz="4" w:space="0"/>
            </w:tcBorders>
            <w:vAlign w:val="center"/>
          </w:tcPr>
          <w:p w14:paraId="71781050">
            <w:pPr>
              <w:widowControl/>
              <w:spacing w:before="0" w:beforeLines="0"/>
              <w:ind w:firstLine="0" w:firstLineChars="0"/>
              <w:rPr>
                <w:rFonts w:hint="eastAsia" w:cs="宋体"/>
                <w:color w:val="000000"/>
                <w:sz w:val="18"/>
                <w:szCs w:val="18"/>
              </w:rPr>
            </w:pPr>
          </w:p>
        </w:tc>
        <w:tc>
          <w:tcPr>
            <w:tcW w:w="1743" w:type="pct"/>
            <w:tcBorders>
              <w:top w:val="single" w:color="000000" w:sz="4" w:space="0"/>
              <w:left w:val="nil"/>
              <w:bottom w:val="single" w:color="000000" w:sz="4" w:space="0"/>
              <w:right w:val="single" w:color="auto" w:sz="4" w:space="0"/>
            </w:tcBorders>
            <w:vAlign w:val="center"/>
          </w:tcPr>
          <w:p w14:paraId="70F37C3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城区公园绿地、广场步行5分钟覆盖率</w:t>
            </w:r>
          </w:p>
        </w:tc>
        <w:tc>
          <w:tcPr>
            <w:tcW w:w="653" w:type="pct"/>
            <w:tcBorders>
              <w:top w:val="single" w:color="auto" w:sz="4" w:space="0"/>
              <w:left w:val="single" w:color="auto" w:sz="4" w:space="0"/>
              <w:bottom w:val="single" w:color="auto" w:sz="4" w:space="0"/>
              <w:right w:val="single" w:color="auto" w:sz="4" w:space="0"/>
            </w:tcBorders>
            <w:noWrap/>
            <w:vAlign w:val="center"/>
          </w:tcPr>
          <w:p w14:paraId="3630094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auto" w:sz="4" w:space="0"/>
              <w:left w:val="single" w:color="auto" w:sz="4" w:space="0"/>
              <w:bottom w:val="single" w:color="auto" w:sz="4" w:space="0"/>
              <w:right w:val="single" w:color="auto" w:sz="4" w:space="0"/>
            </w:tcBorders>
            <w:noWrap/>
            <w:vAlign w:val="center"/>
          </w:tcPr>
          <w:p w14:paraId="0369294E">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3" w:type="pct"/>
            <w:tcBorders>
              <w:top w:val="single" w:color="auto" w:sz="4" w:space="0"/>
              <w:left w:val="single" w:color="auto" w:sz="4" w:space="0"/>
              <w:bottom w:val="single" w:color="auto" w:sz="4" w:space="0"/>
              <w:right w:val="single" w:color="auto" w:sz="4" w:space="0"/>
            </w:tcBorders>
            <w:noWrap/>
            <w:vAlign w:val="center"/>
          </w:tcPr>
          <w:p w14:paraId="04CC14E3">
            <w:pPr>
              <w:widowControl/>
              <w:spacing w:before="0" w:beforeLines="0"/>
              <w:ind w:firstLine="0" w:firstLineChars="0"/>
              <w:textAlignment w:val="center"/>
              <w:rPr>
                <w:rFonts w:hint="eastAsia" w:cs="宋体"/>
                <w:color w:val="000000"/>
                <w:kern w:val="0"/>
                <w:sz w:val="18"/>
                <w:szCs w:val="18"/>
                <w:lang w:bidi="ar"/>
              </w:rPr>
            </w:pPr>
          </w:p>
        </w:tc>
      </w:tr>
      <w:tr w14:paraId="70716B4C">
        <w:tblPrEx>
          <w:tblCellMar>
            <w:top w:w="0" w:type="dxa"/>
            <w:left w:w="108" w:type="dxa"/>
            <w:bottom w:w="0" w:type="dxa"/>
            <w:right w:w="108" w:type="dxa"/>
          </w:tblCellMar>
        </w:tblPrEx>
        <w:tc>
          <w:tcPr>
            <w:tcW w:w="608" w:type="pct"/>
            <w:vMerge w:val="continue"/>
            <w:tcBorders>
              <w:left w:val="single" w:color="000000" w:sz="4" w:space="0"/>
              <w:right w:val="nil"/>
            </w:tcBorders>
            <w:vAlign w:val="center"/>
          </w:tcPr>
          <w:p w14:paraId="619D0209">
            <w:pPr>
              <w:widowControl/>
              <w:spacing w:before="0" w:beforeLines="0"/>
              <w:ind w:firstLine="0" w:firstLineChars="0"/>
              <w:rPr>
                <w:rFonts w:hint="eastAsia" w:cs="宋体"/>
                <w:color w:val="000000"/>
                <w:sz w:val="18"/>
                <w:szCs w:val="18"/>
              </w:rPr>
            </w:pPr>
          </w:p>
        </w:tc>
        <w:tc>
          <w:tcPr>
            <w:tcW w:w="612" w:type="pct"/>
            <w:vMerge w:val="continue"/>
            <w:tcBorders>
              <w:top w:val="single" w:color="auto" w:sz="4" w:space="0"/>
              <w:left w:val="single" w:color="000000" w:sz="4" w:space="0"/>
              <w:bottom w:val="single" w:color="auto" w:sz="4" w:space="0"/>
              <w:right w:val="single" w:color="000000" w:sz="4" w:space="0"/>
            </w:tcBorders>
            <w:vAlign w:val="center"/>
          </w:tcPr>
          <w:p w14:paraId="1B5802A9">
            <w:pPr>
              <w:widowControl/>
              <w:spacing w:before="0" w:beforeLines="0"/>
              <w:ind w:firstLine="0" w:firstLineChars="0"/>
              <w:rPr>
                <w:rFonts w:hint="eastAsia" w:cs="宋体"/>
                <w:color w:val="000000"/>
                <w:sz w:val="18"/>
                <w:szCs w:val="18"/>
              </w:rPr>
            </w:pPr>
          </w:p>
        </w:tc>
        <w:tc>
          <w:tcPr>
            <w:tcW w:w="1743" w:type="pct"/>
            <w:tcBorders>
              <w:top w:val="single" w:color="000000" w:sz="4" w:space="0"/>
              <w:left w:val="nil"/>
              <w:bottom w:val="single" w:color="000000" w:sz="4" w:space="0"/>
              <w:right w:val="single" w:color="auto" w:sz="4" w:space="0"/>
            </w:tcBorders>
            <w:vAlign w:val="center"/>
          </w:tcPr>
          <w:p w14:paraId="3C6BBD34">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本地居民满意度</w:t>
            </w:r>
          </w:p>
        </w:tc>
        <w:tc>
          <w:tcPr>
            <w:tcW w:w="653" w:type="pct"/>
            <w:tcBorders>
              <w:top w:val="single" w:color="auto" w:sz="4" w:space="0"/>
              <w:left w:val="single" w:color="auto" w:sz="4" w:space="0"/>
              <w:bottom w:val="single" w:color="auto" w:sz="4" w:space="0"/>
              <w:right w:val="single" w:color="auto" w:sz="4" w:space="0"/>
            </w:tcBorders>
            <w:noWrap/>
            <w:vAlign w:val="center"/>
          </w:tcPr>
          <w:p w14:paraId="168E4EF7">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预期性</w:t>
            </w:r>
          </w:p>
        </w:tc>
        <w:tc>
          <w:tcPr>
            <w:tcW w:w="947" w:type="pct"/>
            <w:tcBorders>
              <w:top w:val="single" w:color="auto" w:sz="4" w:space="0"/>
              <w:left w:val="single" w:color="auto" w:sz="4" w:space="0"/>
              <w:bottom w:val="single" w:color="auto" w:sz="4" w:space="0"/>
              <w:right w:val="single" w:color="auto" w:sz="4" w:space="0"/>
            </w:tcBorders>
            <w:noWrap/>
            <w:vAlign w:val="center"/>
          </w:tcPr>
          <w:p w14:paraId="370E1813">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3" w:type="pct"/>
            <w:tcBorders>
              <w:top w:val="single" w:color="auto" w:sz="4" w:space="0"/>
              <w:left w:val="single" w:color="auto" w:sz="4" w:space="0"/>
              <w:bottom w:val="single" w:color="auto" w:sz="4" w:space="0"/>
              <w:right w:val="single" w:color="auto" w:sz="4" w:space="0"/>
            </w:tcBorders>
            <w:noWrap/>
            <w:vAlign w:val="center"/>
          </w:tcPr>
          <w:p w14:paraId="59AB8A25">
            <w:pPr>
              <w:widowControl/>
              <w:spacing w:before="0" w:beforeLines="0"/>
              <w:ind w:firstLine="0" w:firstLineChars="0"/>
              <w:textAlignment w:val="center"/>
              <w:rPr>
                <w:rFonts w:hint="eastAsia" w:cs="宋体"/>
                <w:color w:val="000000"/>
                <w:kern w:val="0"/>
                <w:sz w:val="18"/>
                <w:szCs w:val="18"/>
                <w:lang w:bidi="ar"/>
              </w:rPr>
            </w:pPr>
          </w:p>
        </w:tc>
      </w:tr>
      <w:tr w14:paraId="57EF1393">
        <w:tblPrEx>
          <w:tblCellMar>
            <w:top w:w="0" w:type="dxa"/>
            <w:left w:w="108" w:type="dxa"/>
            <w:bottom w:w="0" w:type="dxa"/>
            <w:right w:w="108" w:type="dxa"/>
          </w:tblCellMar>
        </w:tblPrEx>
        <w:tc>
          <w:tcPr>
            <w:tcW w:w="608" w:type="pct"/>
            <w:vMerge w:val="continue"/>
            <w:tcBorders>
              <w:left w:val="single" w:color="000000" w:sz="4" w:space="0"/>
              <w:right w:val="nil"/>
            </w:tcBorders>
            <w:vAlign w:val="center"/>
          </w:tcPr>
          <w:p w14:paraId="44DEA48F">
            <w:pPr>
              <w:widowControl/>
              <w:spacing w:before="0" w:beforeLines="0"/>
              <w:ind w:firstLine="0" w:firstLineChars="0"/>
              <w:rPr>
                <w:rFonts w:hint="eastAsia" w:cs="宋体"/>
                <w:color w:val="000000"/>
                <w:sz w:val="18"/>
                <w:szCs w:val="18"/>
              </w:rPr>
            </w:pPr>
          </w:p>
        </w:tc>
        <w:tc>
          <w:tcPr>
            <w:tcW w:w="612" w:type="pct"/>
            <w:vMerge w:val="continue"/>
            <w:tcBorders>
              <w:top w:val="single" w:color="auto" w:sz="4" w:space="0"/>
              <w:left w:val="single" w:color="000000" w:sz="4" w:space="0"/>
              <w:bottom w:val="single" w:color="auto" w:sz="4" w:space="0"/>
              <w:right w:val="single" w:color="000000" w:sz="4" w:space="0"/>
            </w:tcBorders>
            <w:vAlign w:val="center"/>
          </w:tcPr>
          <w:p w14:paraId="1115C841">
            <w:pPr>
              <w:widowControl/>
              <w:spacing w:before="0" w:beforeLines="0"/>
              <w:ind w:firstLine="0" w:firstLineChars="0"/>
              <w:rPr>
                <w:rFonts w:hint="eastAsia" w:cs="宋体"/>
                <w:color w:val="000000"/>
                <w:sz w:val="18"/>
                <w:szCs w:val="18"/>
              </w:rPr>
            </w:pPr>
          </w:p>
        </w:tc>
        <w:tc>
          <w:tcPr>
            <w:tcW w:w="1743" w:type="pct"/>
            <w:tcBorders>
              <w:top w:val="single" w:color="000000" w:sz="4" w:space="0"/>
              <w:left w:val="nil"/>
              <w:bottom w:val="single" w:color="000000" w:sz="4" w:space="0"/>
              <w:right w:val="single" w:color="auto" w:sz="4" w:space="0"/>
            </w:tcBorders>
            <w:vAlign w:val="center"/>
          </w:tcPr>
          <w:p w14:paraId="4EAF40A2">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w:t>
            </w:r>
          </w:p>
        </w:tc>
        <w:tc>
          <w:tcPr>
            <w:tcW w:w="653" w:type="pct"/>
            <w:tcBorders>
              <w:top w:val="single" w:color="auto" w:sz="4" w:space="0"/>
              <w:left w:val="single" w:color="auto" w:sz="4" w:space="0"/>
              <w:bottom w:val="single" w:color="auto" w:sz="4" w:space="0"/>
              <w:right w:val="single" w:color="auto" w:sz="4" w:space="0"/>
            </w:tcBorders>
            <w:noWrap/>
            <w:vAlign w:val="center"/>
          </w:tcPr>
          <w:p w14:paraId="4225945C">
            <w:pPr>
              <w:widowControl/>
              <w:spacing w:before="0" w:beforeLines="0"/>
              <w:ind w:firstLine="0" w:firstLineChars="0"/>
              <w:textAlignment w:val="center"/>
              <w:rPr>
                <w:rFonts w:hint="eastAsia" w:cs="宋体"/>
                <w:color w:val="000000"/>
                <w:sz w:val="18"/>
                <w:szCs w:val="18"/>
              </w:rPr>
            </w:pPr>
          </w:p>
        </w:tc>
        <w:tc>
          <w:tcPr>
            <w:tcW w:w="947" w:type="pct"/>
            <w:tcBorders>
              <w:top w:val="single" w:color="auto" w:sz="4" w:space="0"/>
              <w:left w:val="single" w:color="auto" w:sz="4" w:space="0"/>
              <w:bottom w:val="single" w:color="auto" w:sz="4" w:space="0"/>
              <w:right w:val="single" w:color="auto" w:sz="4" w:space="0"/>
            </w:tcBorders>
            <w:noWrap/>
            <w:vAlign w:val="center"/>
          </w:tcPr>
          <w:p w14:paraId="5FA4F635">
            <w:pPr>
              <w:widowControl/>
              <w:spacing w:before="0" w:beforeLines="0"/>
              <w:ind w:firstLine="0" w:firstLineChars="0"/>
              <w:textAlignment w:val="center"/>
              <w:rPr>
                <w:rFonts w:hint="eastAsia" w:cs="宋体"/>
                <w:color w:val="000000"/>
                <w:sz w:val="18"/>
                <w:szCs w:val="18"/>
              </w:rPr>
            </w:pPr>
          </w:p>
        </w:tc>
        <w:tc>
          <w:tcPr>
            <w:tcW w:w="433" w:type="pct"/>
            <w:tcBorders>
              <w:top w:val="single" w:color="auto" w:sz="4" w:space="0"/>
              <w:left w:val="single" w:color="auto" w:sz="4" w:space="0"/>
              <w:bottom w:val="single" w:color="auto" w:sz="4" w:space="0"/>
              <w:right w:val="single" w:color="auto" w:sz="4" w:space="0"/>
            </w:tcBorders>
            <w:noWrap/>
            <w:vAlign w:val="center"/>
          </w:tcPr>
          <w:p w14:paraId="62B69844">
            <w:pPr>
              <w:widowControl/>
              <w:spacing w:before="0" w:beforeLines="0"/>
              <w:ind w:firstLine="0" w:firstLineChars="0"/>
              <w:textAlignment w:val="center"/>
              <w:rPr>
                <w:rFonts w:hint="eastAsia" w:cs="宋体"/>
                <w:color w:val="000000"/>
                <w:sz w:val="18"/>
                <w:szCs w:val="18"/>
              </w:rPr>
            </w:pPr>
          </w:p>
        </w:tc>
      </w:tr>
      <w:tr w14:paraId="7D4FCB21">
        <w:tblPrEx>
          <w:tblCellMar>
            <w:top w:w="0" w:type="dxa"/>
            <w:left w:w="108" w:type="dxa"/>
            <w:bottom w:w="0" w:type="dxa"/>
            <w:right w:w="108" w:type="dxa"/>
          </w:tblCellMar>
        </w:tblPrEx>
        <w:tc>
          <w:tcPr>
            <w:tcW w:w="608" w:type="pct"/>
            <w:vMerge w:val="continue"/>
            <w:tcBorders>
              <w:left w:val="single" w:color="000000" w:sz="4" w:space="0"/>
              <w:right w:val="nil"/>
            </w:tcBorders>
            <w:vAlign w:val="center"/>
          </w:tcPr>
          <w:p w14:paraId="61613ED4">
            <w:pPr>
              <w:widowControl/>
              <w:spacing w:before="0" w:beforeLines="0"/>
              <w:ind w:firstLine="0" w:firstLineChars="0"/>
              <w:rPr>
                <w:rFonts w:hint="eastAsia" w:cs="宋体"/>
                <w:color w:val="000000"/>
                <w:sz w:val="18"/>
                <w:szCs w:val="18"/>
              </w:rPr>
            </w:pPr>
          </w:p>
        </w:tc>
        <w:tc>
          <w:tcPr>
            <w:tcW w:w="612" w:type="pct"/>
            <w:vMerge w:val="restart"/>
            <w:tcBorders>
              <w:top w:val="single" w:color="auto" w:sz="4" w:space="0"/>
              <w:left w:val="single" w:color="000000" w:sz="4" w:space="0"/>
              <w:bottom w:val="single" w:color="auto" w:sz="4" w:space="0"/>
              <w:right w:val="single" w:color="000000" w:sz="4" w:space="0"/>
            </w:tcBorders>
            <w:vAlign w:val="center"/>
          </w:tcPr>
          <w:p w14:paraId="4A638159">
            <w:pPr>
              <w:widowControl/>
              <w:spacing w:before="0" w:beforeLines="0"/>
              <w:ind w:firstLine="0" w:firstLineChars="0"/>
              <w:textAlignment w:val="center"/>
              <w:rPr>
                <w:rFonts w:hint="eastAsia" w:cs="宋体"/>
                <w:color w:val="000000"/>
                <w:sz w:val="18"/>
                <w:szCs w:val="18"/>
              </w:rPr>
            </w:pPr>
            <w:r>
              <w:rPr>
                <w:rFonts w:hint="eastAsia" w:cs="宋体"/>
                <w:color w:val="000000"/>
                <w:kern w:val="0"/>
                <w:sz w:val="18"/>
                <w:szCs w:val="18"/>
                <w:lang w:bidi="ar"/>
              </w:rPr>
              <w:t>经济效果类</w:t>
            </w:r>
          </w:p>
        </w:tc>
        <w:tc>
          <w:tcPr>
            <w:tcW w:w="1743" w:type="pct"/>
            <w:tcBorders>
              <w:top w:val="single" w:color="000000" w:sz="4" w:space="0"/>
              <w:left w:val="nil"/>
              <w:bottom w:val="single" w:color="000000" w:sz="4" w:space="0"/>
              <w:right w:val="single" w:color="auto" w:sz="4" w:space="0"/>
            </w:tcBorders>
            <w:vAlign w:val="center"/>
          </w:tcPr>
          <w:p w14:paraId="69C6434A">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生态产业产值</w:t>
            </w:r>
          </w:p>
        </w:tc>
        <w:tc>
          <w:tcPr>
            <w:tcW w:w="653" w:type="pct"/>
            <w:tcBorders>
              <w:top w:val="single" w:color="auto" w:sz="4" w:space="0"/>
              <w:left w:val="single" w:color="auto" w:sz="4" w:space="0"/>
              <w:bottom w:val="single" w:color="auto" w:sz="4" w:space="0"/>
              <w:right w:val="single" w:color="auto" w:sz="4" w:space="0"/>
            </w:tcBorders>
            <w:noWrap/>
            <w:vAlign w:val="center"/>
          </w:tcPr>
          <w:p w14:paraId="35F7E7CE">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预期性</w:t>
            </w:r>
          </w:p>
        </w:tc>
        <w:tc>
          <w:tcPr>
            <w:tcW w:w="947" w:type="pct"/>
            <w:tcBorders>
              <w:top w:val="single" w:color="auto" w:sz="4" w:space="0"/>
              <w:left w:val="single" w:color="auto" w:sz="4" w:space="0"/>
              <w:bottom w:val="single" w:color="auto" w:sz="4" w:space="0"/>
              <w:right w:val="single" w:color="auto" w:sz="4" w:space="0"/>
            </w:tcBorders>
            <w:noWrap/>
            <w:vAlign w:val="center"/>
          </w:tcPr>
          <w:p w14:paraId="7E2276E2">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3" w:type="pct"/>
            <w:tcBorders>
              <w:top w:val="single" w:color="auto" w:sz="4" w:space="0"/>
              <w:left w:val="single" w:color="auto" w:sz="4" w:space="0"/>
              <w:bottom w:val="single" w:color="auto" w:sz="4" w:space="0"/>
              <w:right w:val="single" w:color="auto" w:sz="4" w:space="0"/>
            </w:tcBorders>
            <w:noWrap/>
            <w:vAlign w:val="center"/>
          </w:tcPr>
          <w:p w14:paraId="5005A28E">
            <w:pPr>
              <w:widowControl/>
              <w:spacing w:before="0" w:beforeLines="0"/>
              <w:ind w:firstLine="0" w:firstLineChars="0"/>
              <w:textAlignment w:val="center"/>
              <w:rPr>
                <w:rFonts w:hint="eastAsia" w:cs="宋体"/>
                <w:color w:val="000000"/>
                <w:kern w:val="0"/>
                <w:sz w:val="18"/>
                <w:szCs w:val="18"/>
                <w:lang w:bidi="ar"/>
              </w:rPr>
            </w:pPr>
          </w:p>
        </w:tc>
      </w:tr>
      <w:tr w14:paraId="4F446FC7">
        <w:tblPrEx>
          <w:tblCellMar>
            <w:top w:w="0" w:type="dxa"/>
            <w:left w:w="108" w:type="dxa"/>
            <w:bottom w:w="0" w:type="dxa"/>
            <w:right w:w="108" w:type="dxa"/>
          </w:tblCellMar>
        </w:tblPrEx>
        <w:tc>
          <w:tcPr>
            <w:tcW w:w="608" w:type="pct"/>
            <w:vMerge w:val="continue"/>
            <w:tcBorders>
              <w:left w:val="single" w:color="000000" w:sz="4" w:space="0"/>
              <w:right w:val="nil"/>
            </w:tcBorders>
            <w:vAlign w:val="center"/>
          </w:tcPr>
          <w:p w14:paraId="20A70973">
            <w:pPr>
              <w:widowControl/>
              <w:spacing w:before="0" w:beforeLines="0"/>
              <w:ind w:firstLine="0" w:firstLineChars="0"/>
              <w:rPr>
                <w:rFonts w:hint="eastAsia" w:cs="宋体"/>
                <w:color w:val="000000"/>
                <w:sz w:val="18"/>
                <w:szCs w:val="18"/>
              </w:rPr>
            </w:pPr>
          </w:p>
        </w:tc>
        <w:tc>
          <w:tcPr>
            <w:tcW w:w="612" w:type="pct"/>
            <w:vMerge w:val="continue"/>
            <w:tcBorders>
              <w:top w:val="single" w:color="auto" w:sz="4" w:space="0"/>
              <w:left w:val="single" w:color="000000" w:sz="4" w:space="0"/>
              <w:bottom w:val="single" w:color="auto" w:sz="4" w:space="0"/>
              <w:right w:val="single" w:color="000000" w:sz="4" w:space="0"/>
            </w:tcBorders>
            <w:vAlign w:val="center"/>
          </w:tcPr>
          <w:p w14:paraId="385F5A58">
            <w:pPr>
              <w:widowControl/>
              <w:spacing w:before="0" w:beforeLines="0"/>
              <w:ind w:firstLine="0" w:firstLineChars="0"/>
              <w:rPr>
                <w:rFonts w:hint="eastAsia" w:cs="宋体"/>
                <w:color w:val="000000"/>
                <w:sz w:val="18"/>
                <w:szCs w:val="18"/>
              </w:rPr>
            </w:pPr>
          </w:p>
        </w:tc>
        <w:tc>
          <w:tcPr>
            <w:tcW w:w="1743" w:type="pct"/>
            <w:tcBorders>
              <w:top w:val="single" w:color="000000" w:sz="4" w:space="0"/>
              <w:left w:val="nil"/>
              <w:bottom w:val="single" w:color="000000" w:sz="4" w:space="0"/>
              <w:right w:val="single" w:color="auto" w:sz="4" w:space="0"/>
            </w:tcBorders>
            <w:noWrap/>
            <w:vAlign w:val="center"/>
          </w:tcPr>
          <w:p w14:paraId="6F28A379">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社会资本参与度</w:t>
            </w:r>
          </w:p>
        </w:tc>
        <w:tc>
          <w:tcPr>
            <w:tcW w:w="653" w:type="pct"/>
            <w:tcBorders>
              <w:top w:val="single" w:color="auto" w:sz="4" w:space="0"/>
              <w:left w:val="single" w:color="auto" w:sz="4" w:space="0"/>
              <w:bottom w:val="single" w:color="auto" w:sz="4" w:space="0"/>
              <w:right w:val="single" w:color="auto" w:sz="4" w:space="0"/>
            </w:tcBorders>
            <w:noWrap/>
            <w:vAlign w:val="center"/>
          </w:tcPr>
          <w:p w14:paraId="31428556">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预期性</w:t>
            </w:r>
          </w:p>
        </w:tc>
        <w:tc>
          <w:tcPr>
            <w:tcW w:w="947" w:type="pct"/>
            <w:tcBorders>
              <w:top w:val="single" w:color="auto" w:sz="4" w:space="0"/>
              <w:left w:val="single" w:color="auto" w:sz="4" w:space="0"/>
              <w:bottom w:val="single" w:color="auto" w:sz="4" w:space="0"/>
              <w:right w:val="single" w:color="auto" w:sz="4" w:space="0"/>
            </w:tcBorders>
            <w:noWrap/>
            <w:vAlign w:val="center"/>
          </w:tcPr>
          <w:p w14:paraId="3AE6C93C">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3" w:type="pct"/>
            <w:tcBorders>
              <w:top w:val="single" w:color="auto" w:sz="4" w:space="0"/>
              <w:left w:val="single" w:color="auto" w:sz="4" w:space="0"/>
              <w:bottom w:val="single" w:color="auto" w:sz="4" w:space="0"/>
              <w:right w:val="single" w:color="auto" w:sz="4" w:space="0"/>
            </w:tcBorders>
            <w:noWrap/>
            <w:vAlign w:val="center"/>
          </w:tcPr>
          <w:p w14:paraId="6B16B98B">
            <w:pPr>
              <w:widowControl/>
              <w:spacing w:before="0" w:beforeLines="0"/>
              <w:ind w:firstLine="0" w:firstLineChars="0"/>
              <w:textAlignment w:val="center"/>
              <w:rPr>
                <w:rFonts w:hint="eastAsia" w:cs="宋体"/>
                <w:color w:val="000000"/>
                <w:kern w:val="0"/>
                <w:sz w:val="18"/>
                <w:szCs w:val="18"/>
                <w:lang w:bidi="ar"/>
              </w:rPr>
            </w:pPr>
          </w:p>
        </w:tc>
      </w:tr>
      <w:tr w14:paraId="67718B89">
        <w:tblPrEx>
          <w:tblCellMar>
            <w:top w:w="0" w:type="dxa"/>
            <w:left w:w="108" w:type="dxa"/>
            <w:bottom w:w="0" w:type="dxa"/>
            <w:right w:w="108" w:type="dxa"/>
          </w:tblCellMar>
        </w:tblPrEx>
        <w:tc>
          <w:tcPr>
            <w:tcW w:w="608" w:type="pct"/>
            <w:vMerge w:val="continue"/>
            <w:tcBorders>
              <w:left w:val="single" w:color="000000" w:sz="4" w:space="0"/>
              <w:right w:val="nil"/>
            </w:tcBorders>
            <w:vAlign w:val="center"/>
          </w:tcPr>
          <w:p w14:paraId="5A6FF3E9">
            <w:pPr>
              <w:widowControl/>
              <w:spacing w:before="0" w:beforeLines="0"/>
              <w:ind w:firstLine="0" w:firstLineChars="0"/>
              <w:rPr>
                <w:rFonts w:hint="eastAsia" w:cs="宋体"/>
                <w:color w:val="000000"/>
                <w:sz w:val="18"/>
                <w:szCs w:val="18"/>
              </w:rPr>
            </w:pPr>
          </w:p>
        </w:tc>
        <w:tc>
          <w:tcPr>
            <w:tcW w:w="612" w:type="pct"/>
            <w:vMerge w:val="continue"/>
            <w:tcBorders>
              <w:top w:val="single" w:color="auto" w:sz="4" w:space="0"/>
              <w:left w:val="single" w:color="000000" w:sz="4" w:space="0"/>
              <w:bottom w:val="single" w:color="auto" w:sz="4" w:space="0"/>
              <w:right w:val="single" w:color="000000" w:sz="4" w:space="0"/>
            </w:tcBorders>
            <w:vAlign w:val="center"/>
          </w:tcPr>
          <w:p w14:paraId="1D82FF5C">
            <w:pPr>
              <w:widowControl/>
              <w:spacing w:before="0" w:beforeLines="0"/>
              <w:ind w:firstLine="0" w:firstLineChars="0"/>
              <w:rPr>
                <w:rFonts w:hint="eastAsia" w:cs="宋体"/>
                <w:color w:val="000000"/>
                <w:sz w:val="18"/>
                <w:szCs w:val="18"/>
              </w:rPr>
            </w:pPr>
          </w:p>
        </w:tc>
        <w:tc>
          <w:tcPr>
            <w:tcW w:w="1743" w:type="pct"/>
            <w:tcBorders>
              <w:top w:val="single" w:color="000000" w:sz="4" w:space="0"/>
              <w:left w:val="nil"/>
              <w:bottom w:val="single" w:color="000000" w:sz="4" w:space="0"/>
              <w:right w:val="single" w:color="auto" w:sz="4" w:space="0"/>
            </w:tcBorders>
            <w:vAlign w:val="center"/>
          </w:tcPr>
          <w:p w14:paraId="2B9E2477">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生态修复后自然资源价值转化</w:t>
            </w:r>
          </w:p>
        </w:tc>
        <w:tc>
          <w:tcPr>
            <w:tcW w:w="653" w:type="pct"/>
            <w:tcBorders>
              <w:top w:val="single" w:color="auto" w:sz="4" w:space="0"/>
              <w:left w:val="single" w:color="auto" w:sz="4" w:space="0"/>
              <w:bottom w:val="single" w:color="auto" w:sz="4" w:space="0"/>
              <w:right w:val="single" w:color="auto" w:sz="4" w:space="0"/>
            </w:tcBorders>
            <w:noWrap/>
            <w:vAlign w:val="center"/>
          </w:tcPr>
          <w:p w14:paraId="38DEF0D4">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预期性</w:t>
            </w:r>
          </w:p>
        </w:tc>
        <w:tc>
          <w:tcPr>
            <w:tcW w:w="947" w:type="pct"/>
            <w:tcBorders>
              <w:top w:val="single" w:color="auto" w:sz="4" w:space="0"/>
              <w:left w:val="single" w:color="auto" w:sz="4" w:space="0"/>
              <w:bottom w:val="single" w:color="auto" w:sz="4" w:space="0"/>
              <w:right w:val="single" w:color="auto" w:sz="4" w:space="0"/>
            </w:tcBorders>
            <w:noWrap/>
            <w:vAlign w:val="center"/>
          </w:tcPr>
          <w:p w14:paraId="62E302BB">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sym w:font="Wingdings 2" w:char="00A3"/>
            </w:r>
            <w:r>
              <w:rPr>
                <w:rFonts w:hint="eastAsia" w:cs="宋体"/>
                <w:color w:val="000000"/>
                <w:kern w:val="0"/>
                <w:sz w:val="18"/>
                <w:szCs w:val="18"/>
                <w:lang w:bidi="ar"/>
              </w:rPr>
              <w:t>合格</w:t>
            </w:r>
            <w:r>
              <w:rPr>
                <w:rFonts w:hint="eastAsia" w:cs="宋体"/>
                <w:color w:val="000000"/>
                <w:kern w:val="0"/>
                <w:sz w:val="18"/>
                <w:szCs w:val="18"/>
                <w:lang w:bidi="ar"/>
              </w:rPr>
              <w:sym w:font="Wingdings 2" w:char="00A3"/>
            </w:r>
            <w:r>
              <w:rPr>
                <w:rFonts w:hint="eastAsia" w:cs="宋体"/>
                <w:color w:val="000000"/>
                <w:kern w:val="0"/>
                <w:sz w:val="18"/>
                <w:szCs w:val="18"/>
                <w:lang w:bidi="ar"/>
              </w:rPr>
              <w:t>不合格</w:t>
            </w:r>
          </w:p>
        </w:tc>
        <w:tc>
          <w:tcPr>
            <w:tcW w:w="433" w:type="pct"/>
            <w:tcBorders>
              <w:top w:val="single" w:color="auto" w:sz="4" w:space="0"/>
              <w:left w:val="single" w:color="auto" w:sz="4" w:space="0"/>
              <w:bottom w:val="single" w:color="auto" w:sz="4" w:space="0"/>
              <w:right w:val="single" w:color="auto" w:sz="4" w:space="0"/>
            </w:tcBorders>
            <w:noWrap/>
            <w:vAlign w:val="center"/>
          </w:tcPr>
          <w:p w14:paraId="728093B5">
            <w:pPr>
              <w:widowControl/>
              <w:spacing w:before="0" w:beforeLines="0"/>
              <w:ind w:firstLine="0" w:firstLineChars="0"/>
              <w:textAlignment w:val="center"/>
              <w:rPr>
                <w:rFonts w:hint="eastAsia" w:cs="宋体"/>
                <w:color w:val="000000"/>
                <w:kern w:val="0"/>
                <w:sz w:val="18"/>
                <w:szCs w:val="18"/>
                <w:lang w:bidi="ar"/>
              </w:rPr>
            </w:pPr>
          </w:p>
        </w:tc>
      </w:tr>
      <w:tr w14:paraId="0C94F66E">
        <w:tblPrEx>
          <w:tblCellMar>
            <w:top w:w="0" w:type="dxa"/>
            <w:left w:w="108" w:type="dxa"/>
            <w:bottom w:w="0" w:type="dxa"/>
            <w:right w:w="108" w:type="dxa"/>
          </w:tblCellMar>
        </w:tblPrEx>
        <w:trPr>
          <w:trHeight w:val="561" w:hRule="atLeast"/>
        </w:trPr>
        <w:tc>
          <w:tcPr>
            <w:tcW w:w="608" w:type="pct"/>
            <w:vMerge w:val="continue"/>
            <w:tcBorders>
              <w:left w:val="single" w:color="000000" w:sz="4" w:space="0"/>
              <w:bottom w:val="single" w:color="auto" w:sz="4" w:space="0"/>
              <w:right w:val="nil"/>
            </w:tcBorders>
            <w:vAlign w:val="center"/>
          </w:tcPr>
          <w:p w14:paraId="333E436B">
            <w:pPr>
              <w:widowControl/>
              <w:spacing w:before="0" w:beforeLines="0"/>
              <w:ind w:firstLine="0" w:firstLineChars="0"/>
              <w:rPr>
                <w:rFonts w:hint="eastAsia" w:cs="宋体"/>
                <w:color w:val="000000"/>
                <w:sz w:val="18"/>
                <w:szCs w:val="18"/>
              </w:rPr>
            </w:pPr>
          </w:p>
        </w:tc>
        <w:tc>
          <w:tcPr>
            <w:tcW w:w="612" w:type="pct"/>
            <w:vMerge w:val="continue"/>
            <w:tcBorders>
              <w:top w:val="single" w:color="auto" w:sz="4" w:space="0"/>
              <w:left w:val="single" w:color="000000" w:sz="4" w:space="0"/>
              <w:bottom w:val="single" w:color="auto" w:sz="4" w:space="0"/>
              <w:right w:val="single" w:color="000000" w:sz="4" w:space="0"/>
            </w:tcBorders>
            <w:vAlign w:val="center"/>
          </w:tcPr>
          <w:p w14:paraId="1E7487FD">
            <w:pPr>
              <w:widowControl/>
              <w:spacing w:before="0" w:beforeLines="0"/>
              <w:ind w:firstLine="0" w:firstLineChars="0"/>
              <w:rPr>
                <w:rFonts w:hint="eastAsia" w:cs="宋体"/>
                <w:color w:val="000000"/>
                <w:sz w:val="18"/>
                <w:szCs w:val="18"/>
              </w:rPr>
            </w:pPr>
          </w:p>
        </w:tc>
        <w:tc>
          <w:tcPr>
            <w:tcW w:w="1743" w:type="pct"/>
            <w:tcBorders>
              <w:top w:val="single" w:color="000000" w:sz="4" w:space="0"/>
              <w:left w:val="nil"/>
              <w:bottom w:val="single" w:color="auto" w:sz="4" w:space="0"/>
              <w:right w:val="single" w:color="auto" w:sz="4" w:space="0"/>
            </w:tcBorders>
            <w:vAlign w:val="center"/>
          </w:tcPr>
          <w:p w14:paraId="6D4209EE">
            <w:pPr>
              <w:widowControl/>
              <w:spacing w:before="0" w:beforeLines="0"/>
              <w:ind w:firstLine="0" w:firstLineChars="0"/>
              <w:textAlignment w:val="center"/>
              <w:rPr>
                <w:rFonts w:hint="eastAsia" w:cs="宋体"/>
                <w:color w:val="000000"/>
                <w:kern w:val="0"/>
                <w:sz w:val="18"/>
                <w:szCs w:val="18"/>
                <w:lang w:bidi="ar"/>
              </w:rPr>
            </w:pPr>
            <w:r>
              <w:rPr>
                <w:rFonts w:hint="eastAsia" w:cs="宋体"/>
                <w:color w:val="000000"/>
                <w:kern w:val="0"/>
                <w:sz w:val="18"/>
                <w:szCs w:val="18"/>
                <w:lang w:bidi="ar"/>
              </w:rPr>
              <w:t>...</w:t>
            </w:r>
          </w:p>
        </w:tc>
        <w:tc>
          <w:tcPr>
            <w:tcW w:w="653" w:type="pct"/>
            <w:tcBorders>
              <w:top w:val="single" w:color="auto" w:sz="4" w:space="0"/>
              <w:left w:val="single" w:color="auto" w:sz="4" w:space="0"/>
              <w:bottom w:val="single" w:color="auto" w:sz="4" w:space="0"/>
              <w:right w:val="single" w:color="auto" w:sz="4" w:space="0"/>
            </w:tcBorders>
            <w:noWrap/>
            <w:vAlign w:val="center"/>
          </w:tcPr>
          <w:p w14:paraId="68AEBFD2">
            <w:pPr>
              <w:widowControl/>
              <w:spacing w:before="0" w:beforeLines="0"/>
              <w:ind w:firstLine="0" w:firstLineChars="0"/>
              <w:textAlignment w:val="center"/>
              <w:rPr>
                <w:rFonts w:hint="eastAsia" w:cs="宋体"/>
                <w:color w:val="000000"/>
                <w:kern w:val="0"/>
                <w:sz w:val="18"/>
                <w:szCs w:val="18"/>
                <w:lang w:bidi="ar"/>
              </w:rPr>
            </w:pPr>
          </w:p>
          <w:p w14:paraId="38299E43">
            <w:pPr>
              <w:spacing w:before="156"/>
              <w:ind w:firstLine="360"/>
              <w:rPr>
                <w:rFonts w:hint="eastAsia" w:cs="宋体"/>
                <w:sz w:val="18"/>
                <w:szCs w:val="18"/>
              </w:rPr>
            </w:pPr>
          </w:p>
        </w:tc>
        <w:tc>
          <w:tcPr>
            <w:tcW w:w="947" w:type="pct"/>
            <w:tcBorders>
              <w:top w:val="single" w:color="auto" w:sz="4" w:space="0"/>
              <w:left w:val="single" w:color="auto" w:sz="4" w:space="0"/>
              <w:bottom w:val="single" w:color="auto" w:sz="4" w:space="0"/>
              <w:right w:val="single" w:color="auto" w:sz="4" w:space="0"/>
            </w:tcBorders>
            <w:noWrap/>
            <w:vAlign w:val="center"/>
          </w:tcPr>
          <w:p w14:paraId="2CF5AE86">
            <w:pPr>
              <w:widowControl/>
              <w:spacing w:before="0" w:beforeLines="0"/>
              <w:ind w:firstLine="0" w:firstLineChars="0"/>
              <w:textAlignment w:val="center"/>
              <w:rPr>
                <w:rFonts w:hint="eastAsia" w:cs="宋体"/>
                <w:color w:val="000000"/>
                <w:kern w:val="0"/>
                <w:sz w:val="18"/>
                <w:szCs w:val="18"/>
                <w:lang w:bidi="ar"/>
              </w:rPr>
            </w:pPr>
          </w:p>
        </w:tc>
        <w:tc>
          <w:tcPr>
            <w:tcW w:w="433" w:type="pct"/>
            <w:tcBorders>
              <w:top w:val="single" w:color="auto" w:sz="4" w:space="0"/>
              <w:left w:val="single" w:color="auto" w:sz="4" w:space="0"/>
              <w:bottom w:val="single" w:color="auto" w:sz="4" w:space="0"/>
              <w:right w:val="single" w:color="auto" w:sz="4" w:space="0"/>
            </w:tcBorders>
            <w:noWrap/>
            <w:vAlign w:val="center"/>
          </w:tcPr>
          <w:p w14:paraId="3414A7F2">
            <w:pPr>
              <w:widowControl/>
              <w:spacing w:before="0" w:beforeLines="0"/>
              <w:ind w:firstLine="0" w:firstLineChars="0"/>
              <w:textAlignment w:val="center"/>
              <w:rPr>
                <w:rFonts w:hint="eastAsia" w:cs="宋体"/>
                <w:color w:val="000000"/>
                <w:kern w:val="0"/>
                <w:sz w:val="18"/>
                <w:szCs w:val="18"/>
                <w:lang w:bidi="ar"/>
              </w:rPr>
            </w:pPr>
          </w:p>
        </w:tc>
      </w:tr>
      <w:tr w14:paraId="65211FB0">
        <w:tblPrEx>
          <w:tblCellMar>
            <w:top w:w="0" w:type="dxa"/>
            <w:left w:w="108" w:type="dxa"/>
            <w:bottom w:w="0" w:type="dxa"/>
            <w:right w:w="108" w:type="dxa"/>
          </w:tblCellMar>
        </w:tblPrEx>
        <w:trPr>
          <w:trHeight w:val="561"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14:paraId="41A45463">
            <w:pPr>
              <w:pStyle w:val="69"/>
              <w:numPr>
                <w:ilvl w:val="0"/>
                <w:numId w:val="8"/>
              </w:numPr>
              <w:spacing w:before="0" w:beforeLines="0"/>
              <w:rPr>
                <w:rFonts w:hint="eastAsia" w:cs="宋体"/>
                <w:sz w:val="18"/>
                <w:szCs w:val="18"/>
              </w:rPr>
            </w:pPr>
            <w:r>
              <w:rPr>
                <w:rFonts w:hint="eastAsia" w:cs="宋体"/>
                <w:sz w:val="18"/>
                <w:szCs w:val="18"/>
              </w:rPr>
              <w:t>比值法结果评估分级，当规划评估值与规划目标值的比值大于等于1时，表明规划评估期实际表现优于规划评估目标值，记为合格；反之则未达到规划评估目标，记为不合格。</w:t>
            </w:r>
          </w:p>
          <w:p w14:paraId="28468145">
            <w:pPr>
              <w:pStyle w:val="69"/>
              <w:numPr>
                <w:ilvl w:val="0"/>
                <w:numId w:val="8"/>
              </w:numPr>
              <w:spacing w:before="0" w:beforeLines="0"/>
              <w:rPr>
                <w:rFonts w:hint="eastAsia" w:cs="宋体"/>
                <w:sz w:val="18"/>
                <w:szCs w:val="18"/>
              </w:rPr>
            </w:pPr>
            <w:r>
              <w:rPr>
                <w:rFonts w:hint="eastAsia" w:cs="宋体"/>
                <w:sz w:val="18"/>
                <w:szCs w:val="18"/>
              </w:rPr>
              <w:t>差值法结果评估分级，规划评估值与规划目标值的差值大于等于0时，表明规划评估期实际表现优于规划评估目标值，记为合格；反之则未达到规划评估目标，记为不合格。</w:t>
            </w:r>
          </w:p>
          <w:p w14:paraId="22BE5B83">
            <w:pPr>
              <w:pStyle w:val="69"/>
              <w:numPr>
                <w:ilvl w:val="0"/>
                <w:numId w:val="8"/>
              </w:numPr>
              <w:spacing w:before="0" w:beforeLines="0"/>
              <w:rPr>
                <w:rFonts w:hint="eastAsia" w:cs="宋体"/>
                <w:sz w:val="18"/>
                <w:szCs w:val="18"/>
              </w:rPr>
            </w:pPr>
            <w:r>
              <w:rPr>
                <w:rFonts w:hint="eastAsia" w:cs="宋体"/>
                <w:sz w:val="18"/>
                <w:szCs w:val="18"/>
              </w:rPr>
              <w:t>约束性指标不合格必须填写未完成原因，预期性指标不合格可选填。</w:t>
            </w:r>
          </w:p>
        </w:tc>
      </w:tr>
    </w:tbl>
    <w:p w14:paraId="5B5BE5AA">
      <w:pPr>
        <w:spacing w:before="0" w:beforeLines="0"/>
        <w:ind w:firstLine="0" w:firstLineChars="0"/>
        <w:rPr>
          <w:rFonts w:hint="eastAsia" w:ascii="黑体" w:hAnsi="黑体" w:eastAsia="黑体" w:cs="黑体"/>
          <w:lang w:bidi="ar"/>
        </w:rPr>
      </w:pPr>
      <w:r>
        <w:rPr>
          <w:rFonts w:hint="eastAsia" w:ascii="黑体" w:hAnsi="黑体" w:eastAsia="黑体" w:cs="黑体"/>
          <w:lang w:bidi="ar"/>
        </w:rPr>
        <w:br w:type="page"/>
      </w:r>
    </w:p>
    <w:p w14:paraId="126C053E">
      <w:pPr>
        <w:spacing w:before="156" w:beforeLines="0" w:after="156" w:afterLines="50"/>
        <w:ind w:firstLine="422" w:firstLineChars="0"/>
        <w:jc w:val="center"/>
        <w:rPr>
          <w:rFonts w:ascii="黑体" w:hAnsi="Times New Roman" w:eastAsia="黑体" w:cs="Times New Roman"/>
          <w:kern w:val="0"/>
          <w:szCs w:val="22"/>
        </w:rPr>
      </w:pPr>
      <w:r>
        <w:rPr>
          <w:rFonts w:hint="eastAsia" w:ascii="黑体" w:hAnsi="Times New Roman" w:eastAsia="黑体" w:cs="Times New Roman"/>
          <w:kern w:val="0"/>
          <w:szCs w:val="22"/>
        </w:rPr>
        <w:t>表C.2 国土空间生态修复规划后期评估结果分级表</w:t>
      </w:r>
    </w:p>
    <w:tbl>
      <w:tblPr>
        <w:tblStyle w:val="17"/>
        <w:tblpPr w:leftFromText="180" w:rightFromText="180" w:vertAnchor="text" w:horzAnchor="page" w:tblpX="1513" w:tblpY="173"/>
        <w:tblOverlap w:val="never"/>
        <w:tblW w:w="4994" w:type="pct"/>
        <w:tblInd w:w="0" w:type="dxa"/>
        <w:tblLayout w:type="fixed"/>
        <w:tblCellMar>
          <w:top w:w="0" w:type="dxa"/>
          <w:left w:w="108" w:type="dxa"/>
          <w:bottom w:w="0" w:type="dxa"/>
          <w:right w:w="108" w:type="dxa"/>
        </w:tblCellMar>
      </w:tblPr>
      <w:tblGrid>
        <w:gridCol w:w="1076"/>
        <w:gridCol w:w="2260"/>
        <w:gridCol w:w="1863"/>
        <w:gridCol w:w="2260"/>
        <w:gridCol w:w="1886"/>
      </w:tblGrid>
      <w:tr w14:paraId="098B00CF">
        <w:tblPrEx>
          <w:tblCellMar>
            <w:top w:w="0" w:type="dxa"/>
            <w:left w:w="108" w:type="dxa"/>
            <w:bottom w:w="0" w:type="dxa"/>
            <w:right w:w="108" w:type="dxa"/>
          </w:tblCellMar>
        </w:tblPrEx>
        <w:trPr>
          <w:trHeight w:val="443" w:hRule="atLeast"/>
        </w:trPr>
        <w:tc>
          <w:tcPr>
            <w:tcW w:w="576" w:type="pct"/>
            <w:vMerge w:val="restart"/>
            <w:tcBorders>
              <w:top w:val="single" w:color="000000" w:sz="4" w:space="0"/>
              <w:left w:val="single" w:color="000000" w:sz="4" w:space="0"/>
              <w:right w:val="single" w:color="000000" w:sz="4" w:space="0"/>
            </w:tcBorders>
            <w:vAlign w:val="center"/>
          </w:tcPr>
          <w:p w14:paraId="2421490A">
            <w:pPr>
              <w:widowControl/>
              <w:spacing w:before="0" w:beforeLines="0"/>
              <w:ind w:firstLine="0" w:firstLineChars="0"/>
              <w:jc w:val="center"/>
              <w:textAlignment w:val="center"/>
              <w:rPr>
                <w:rFonts w:hint="eastAsia" w:cs="宋体"/>
                <w:color w:val="000000"/>
                <w:sz w:val="18"/>
                <w:szCs w:val="18"/>
              </w:rPr>
            </w:pPr>
            <w:r>
              <w:rPr>
                <w:rFonts w:hint="eastAsia" w:cs="宋体"/>
                <w:color w:val="000000"/>
                <w:kern w:val="0"/>
                <w:sz w:val="18"/>
                <w:szCs w:val="18"/>
                <w:lang w:bidi="ar"/>
              </w:rPr>
              <w:t>等级划分</w:t>
            </w:r>
          </w:p>
        </w:tc>
        <w:tc>
          <w:tcPr>
            <w:tcW w:w="3415" w:type="pct"/>
            <w:gridSpan w:val="3"/>
            <w:tcBorders>
              <w:top w:val="single" w:color="000000" w:sz="4" w:space="0"/>
              <w:left w:val="single" w:color="000000" w:sz="4" w:space="0"/>
              <w:bottom w:val="single" w:color="000000" w:sz="4" w:space="0"/>
              <w:right w:val="single" w:color="000000" w:sz="4" w:space="0"/>
            </w:tcBorders>
            <w:vAlign w:val="center"/>
          </w:tcPr>
          <w:p w14:paraId="0D1C5F7A">
            <w:pPr>
              <w:widowControl/>
              <w:spacing w:before="0" w:beforeLines="0"/>
              <w:ind w:firstLine="0" w:firstLineChars="0"/>
              <w:jc w:val="center"/>
              <w:textAlignment w:val="center"/>
              <w:rPr>
                <w:rFonts w:hint="eastAsia" w:cs="宋体"/>
                <w:color w:val="000000"/>
                <w:kern w:val="0"/>
                <w:sz w:val="18"/>
                <w:szCs w:val="18"/>
                <w:lang w:bidi="ar"/>
              </w:rPr>
            </w:pPr>
            <w:r>
              <w:rPr>
                <w:rFonts w:hint="eastAsia" w:cs="宋体"/>
                <w:color w:val="000000"/>
                <w:kern w:val="0"/>
                <w:sz w:val="18"/>
                <w:szCs w:val="18"/>
                <w:lang w:bidi="ar"/>
              </w:rPr>
              <w:t>一级指标评估结果分级</w:t>
            </w:r>
          </w:p>
        </w:tc>
        <w:tc>
          <w:tcPr>
            <w:tcW w:w="1007" w:type="pct"/>
            <w:tcBorders>
              <w:top w:val="single" w:color="000000" w:sz="4" w:space="0"/>
              <w:left w:val="single" w:color="000000" w:sz="4" w:space="0"/>
              <w:bottom w:val="single" w:color="000000" w:sz="4" w:space="0"/>
              <w:right w:val="single" w:color="000000" w:sz="4" w:space="0"/>
            </w:tcBorders>
            <w:vAlign w:val="center"/>
          </w:tcPr>
          <w:p w14:paraId="03E6F1F7">
            <w:pPr>
              <w:widowControl/>
              <w:spacing w:before="0" w:beforeLines="0"/>
              <w:ind w:firstLine="0" w:firstLineChars="0"/>
              <w:jc w:val="center"/>
              <w:textAlignment w:val="center"/>
              <w:rPr>
                <w:rFonts w:hint="eastAsia" w:cs="宋体"/>
                <w:color w:val="000000"/>
                <w:kern w:val="0"/>
                <w:sz w:val="18"/>
                <w:szCs w:val="18"/>
                <w:lang w:bidi="ar"/>
              </w:rPr>
            </w:pPr>
            <w:r>
              <w:rPr>
                <w:rFonts w:hint="eastAsia" w:cs="宋体"/>
                <w:color w:val="000000"/>
                <w:kern w:val="0"/>
                <w:sz w:val="18"/>
                <w:szCs w:val="18"/>
                <w:lang w:bidi="ar"/>
              </w:rPr>
              <w:t>评估结果分级</w:t>
            </w:r>
          </w:p>
        </w:tc>
      </w:tr>
      <w:bookmarkEnd w:id="514"/>
      <w:bookmarkEnd w:id="515"/>
      <w:bookmarkEnd w:id="516"/>
      <w:tr w14:paraId="759C6546">
        <w:tblPrEx>
          <w:tblCellMar>
            <w:top w:w="0" w:type="dxa"/>
            <w:left w:w="108" w:type="dxa"/>
            <w:bottom w:w="0" w:type="dxa"/>
            <w:right w:w="108" w:type="dxa"/>
          </w:tblCellMar>
        </w:tblPrEx>
        <w:trPr>
          <w:trHeight w:val="389" w:hRule="atLeast"/>
        </w:trPr>
        <w:tc>
          <w:tcPr>
            <w:tcW w:w="576" w:type="pct"/>
            <w:vMerge w:val="continue"/>
            <w:tcBorders>
              <w:left w:val="single" w:color="000000" w:sz="4" w:space="0"/>
              <w:bottom w:val="single" w:color="000000" w:sz="4" w:space="0"/>
              <w:right w:val="single" w:color="000000" w:sz="4" w:space="0"/>
            </w:tcBorders>
            <w:vAlign w:val="center"/>
          </w:tcPr>
          <w:p w14:paraId="63CEBD92">
            <w:pPr>
              <w:widowControl/>
              <w:spacing w:before="0" w:beforeLines="0"/>
              <w:ind w:firstLine="0" w:firstLineChars="0"/>
              <w:jc w:val="center"/>
              <w:textAlignment w:val="center"/>
              <w:rPr>
                <w:rFonts w:hint="eastAsia" w:cs="宋体"/>
                <w:color w:val="000000"/>
                <w:sz w:val="18"/>
                <w:szCs w:val="18"/>
              </w:rPr>
            </w:pPr>
          </w:p>
        </w:tc>
        <w:tc>
          <w:tcPr>
            <w:tcW w:w="1209" w:type="pct"/>
            <w:tcBorders>
              <w:top w:val="single" w:color="000000" w:sz="4" w:space="0"/>
              <w:left w:val="single" w:color="000000" w:sz="4" w:space="0"/>
              <w:bottom w:val="single" w:color="000000" w:sz="4" w:space="0"/>
              <w:right w:val="single" w:color="000000" w:sz="4" w:space="0"/>
            </w:tcBorders>
            <w:vAlign w:val="center"/>
          </w:tcPr>
          <w:p w14:paraId="33536449">
            <w:pPr>
              <w:widowControl/>
              <w:adjustRightInd/>
              <w:snapToGrid/>
              <w:spacing w:before="156" w:beforeLines="0" w:after="156" w:afterLines="50"/>
              <w:ind w:firstLine="0" w:firstLineChars="0"/>
              <w:jc w:val="center"/>
              <w:rPr>
                <w:rFonts w:hint="eastAsia" w:cs="宋体"/>
                <w:color w:val="000000"/>
                <w:sz w:val="18"/>
                <w:szCs w:val="18"/>
              </w:rPr>
            </w:pPr>
            <w:r>
              <w:rPr>
                <w:rFonts w:hint="eastAsia" w:cs="宋体"/>
                <w:sz w:val="18"/>
                <w:szCs w:val="18"/>
              </w:rPr>
              <w:t>规划目标完成度</w:t>
            </w:r>
          </w:p>
        </w:tc>
        <w:tc>
          <w:tcPr>
            <w:tcW w:w="997" w:type="pct"/>
            <w:tcBorders>
              <w:top w:val="single" w:color="000000" w:sz="4" w:space="0"/>
              <w:left w:val="single" w:color="000000" w:sz="4" w:space="0"/>
              <w:bottom w:val="single" w:color="000000" w:sz="4" w:space="0"/>
              <w:right w:val="single" w:color="000000" w:sz="4" w:space="0"/>
            </w:tcBorders>
            <w:vAlign w:val="center"/>
          </w:tcPr>
          <w:p w14:paraId="58BD8129">
            <w:pPr>
              <w:widowControl/>
              <w:spacing w:before="0" w:beforeLines="0"/>
              <w:ind w:firstLine="0" w:firstLineChars="0"/>
              <w:jc w:val="center"/>
              <w:textAlignment w:val="center"/>
              <w:rPr>
                <w:rFonts w:hint="eastAsia" w:cs="宋体"/>
                <w:color w:val="000000"/>
                <w:sz w:val="18"/>
                <w:szCs w:val="18"/>
              </w:rPr>
            </w:pPr>
            <w:r>
              <w:rPr>
                <w:rFonts w:hint="eastAsia" w:cs="宋体"/>
                <w:color w:val="000000"/>
                <w:kern w:val="0"/>
                <w:sz w:val="18"/>
                <w:szCs w:val="18"/>
                <w:lang w:bidi="ar"/>
              </w:rPr>
              <w:t>生态效果提升率</w:t>
            </w:r>
          </w:p>
        </w:tc>
        <w:tc>
          <w:tcPr>
            <w:tcW w:w="1208" w:type="pct"/>
            <w:tcBorders>
              <w:top w:val="single" w:color="000000" w:sz="4" w:space="0"/>
              <w:left w:val="single" w:color="000000" w:sz="4" w:space="0"/>
              <w:bottom w:val="single" w:color="000000" w:sz="4" w:space="0"/>
              <w:right w:val="single" w:color="000000" w:sz="4" w:space="0"/>
            </w:tcBorders>
            <w:vAlign w:val="center"/>
          </w:tcPr>
          <w:p w14:paraId="09054203">
            <w:pPr>
              <w:widowControl/>
              <w:spacing w:before="0" w:beforeLines="0"/>
              <w:ind w:firstLine="0" w:firstLineChars="0"/>
              <w:jc w:val="center"/>
              <w:textAlignment w:val="center"/>
              <w:rPr>
                <w:rFonts w:hint="eastAsia" w:cs="宋体"/>
                <w:color w:val="000000"/>
                <w:sz w:val="18"/>
                <w:szCs w:val="18"/>
              </w:rPr>
            </w:pPr>
            <w:r>
              <w:rPr>
                <w:rFonts w:hint="eastAsia" w:cs="宋体"/>
                <w:color w:val="000000"/>
                <w:kern w:val="0"/>
                <w:sz w:val="18"/>
                <w:szCs w:val="18"/>
                <w:lang w:bidi="ar"/>
              </w:rPr>
              <w:t>经济社会效果改善度</w:t>
            </w:r>
          </w:p>
        </w:tc>
        <w:tc>
          <w:tcPr>
            <w:tcW w:w="1007" w:type="pct"/>
            <w:tcBorders>
              <w:top w:val="single" w:color="000000" w:sz="4" w:space="0"/>
              <w:left w:val="single" w:color="000000" w:sz="4" w:space="0"/>
              <w:bottom w:val="single" w:color="000000" w:sz="4" w:space="0"/>
              <w:right w:val="single" w:color="000000" w:sz="4" w:space="0"/>
            </w:tcBorders>
            <w:vAlign w:val="center"/>
          </w:tcPr>
          <w:p w14:paraId="5C504F36">
            <w:pPr>
              <w:widowControl/>
              <w:spacing w:before="0" w:beforeLines="0"/>
              <w:ind w:firstLine="0" w:firstLineChars="0"/>
              <w:jc w:val="center"/>
              <w:textAlignment w:val="center"/>
              <w:rPr>
                <w:rFonts w:hint="eastAsia" w:cs="宋体"/>
                <w:color w:val="000000"/>
                <w:kern w:val="0"/>
                <w:sz w:val="18"/>
                <w:szCs w:val="18"/>
                <w:lang w:bidi="ar"/>
              </w:rPr>
            </w:pPr>
            <w:r>
              <w:rPr>
                <w:rFonts w:hint="eastAsia" w:cs="宋体"/>
                <w:color w:val="000000"/>
                <w:kern w:val="0"/>
                <w:sz w:val="18"/>
                <w:szCs w:val="18"/>
                <w:lang w:bidi="ar"/>
              </w:rPr>
              <w:t>综合效果评估</w:t>
            </w:r>
          </w:p>
        </w:tc>
      </w:tr>
      <w:tr w14:paraId="30FFE7C7">
        <w:tblPrEx>
          <w:tblCellMar>
            <w:top w:w="0" w:type="dxa"/>
            <w:left w:w="108" w:type="dxa"/>
            <w:bottom w:w="0" w:type="dxa"/>
            <w:right w:w="108" w:type="dxa"/>
          </w:tblCellMar>
        </w:tblPrEx>
        <w:trPr>
          <w:trHeight w:val="248"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0BA8A287">
            <w:pPr>
              <w:widowControl/>
              <w:spacing w:before="156"/>
              <w:ind w:firstLine="0" w:firstLineChars="0"/>
              <w:jc w:val="center"/>
              <w:textAlignment w:val="center"/>
              <w:rPr>
                <w:rFonts w:hint="eastAsia" w:cs="宋体"/>
                <w:color w:val="000000"/>
                <w:sz w:val="18"/>
                <w:szCs w:val="18"/>
              </w:rPr>
            </w:pPr>
            <w:r>
              <w:rPr>
                <w:rFonts w:hint="eastAsia" w:cs="宋体"/>
                <w:color w:val="000000"/>
                <w:kern w:val="0"/>
                <w:sz w:val="18"/>
                <w:szCs w:val="18"/>
                <w:lang w:bidi="ar"/>
              </w:rPr>
              <w:t>不合格</w:t>
            </w:r>
          </w:p>
        </w:tc>
        <w:tc>
          <w:tcPr>
            <w:tcW w:w="1209" w:type="pct"/>
            <w:tcBorders>
              <w:top w:val="single" w:color="000000" w:sz="4" w:space="0"/>
              <w:left w:val="single" w:color="000000" w:sz="4" w:space="0"/>
              <w:bottom w:val="single" w:color="000000" w:sz="4" w:space="0"/>
              <w:right w:val="single" w:color="000000" w:sz="4" w:space="0"/>
            </w:tcBorders>
            <w:noWrap/>
            <w:vAlign w:val="center"/>
          </w:tcPr>
          <w:p w14:paraId="170BA94A">
            <w:pPr>
              <w:widowControl/>
              <w:spacing w:before="0" w:beforeLines="0"/>
              <w:ind w:firstLine="0" w:firstLineChars="0"/>
              <w:jc w:val="center"/>
              <w:textAlignment w:val="center"/>
              <w:rPr>
                <w:rFonts w:hint="eastAsia" w:cs="宋体"/>
                <w:color w:val="000000"/>
                <w:sz w:val="18"/>
                <w:szCs w:val="18"/>
              </w:rPr>
            </w:pPr>
            <m:oMath>
              <m:r>
                <m:rPr/>
                <w:rPr>
                  <w:rFonts w:hint="eastAsia" w:ascii="Cambria Math" w:hAnsi="Cambria Math" w:cs="宋体"/>
                  <w:sz w:val="18"/>
                  <w:szCs w:val="18"/>
                </w:rPr>
                <m:t>∆OQI</m:t>
              </m:r>
            </m:oMath>
            <w:r>
              <w:rPr>
                <w:rFonts w:hint="eastAsia" w:cs="宋体"/>
                <w:color w:val="000000"/>
                <w:kern w:val="0"/>
                <w:sz w:val="18"/>
                <w:szCs w:val="18"/>
                <w:lang w:bidi="ar"/>
              </w:rPr>
              <w:t>≤0</w:t>
            </w:r>
          </w:p>
        </w:tc>
        <w:tc>
          <w:tcPr>
            <w:tcW w:w="997" w:type="pct"/>
            <w:tcBorders>
              <w:top w:val="single" w:color="000000" w:sz="4" w:space="0"/>
              <w:left w:val="single" w:color="000000" w:sz="4" w:space="0"/>
              <w:bottom w:val="single" w:color="000000" w:sz="4" w:space="0"/>
              <w:right w:val="single" w:color="000000" w:sz="4" w:space="0"/>
            </w:tcBorders>
            <w:noWrap/>
            <w:vAlign w:val="center"/>
          </w:tcPr>
          <w:p w14:paraId="5594B215">
            <w:pPr>
              <w:widowControl/>
              <w:spacing w:before="0" w:beforeLines="0"/>
              <w:ind w:firstLine="0" w:firstLineChars="0"/>
              <w:jc w:val="center"/>
              <w:textAlignment w:val="center"/>
              <w:rPr>
                <w:rFonts w:hint="eastAsia" w:cs="宋体"/>
                <w:color w:val="000000"/>
                <w:sz w:val="18"/>
                <w:szCs w:val="18"/>
              </w:rPr>
            </w:pPr>
            <m:oMath>
              <m:r>
                <m:rPr/>
                <w:rPr>
                  <w:rFonts w:hint="eastAsia" w:ascii="Cambria Math" w:hAnsi="Cambria Math" w:cs="宋体"/>
                  <w:sz w:val="18"/>
                  <w:szCs w:val="18"/>
                </w:rPr>
                <m:t>∆EQI</m:t>
              </m:r>
            </m:oMath>
            <w:r>
              <w:rPr>
                <w:rFonts w:hint="eastAsia" w:cs="宋体"/>
                <w:color w:val="000000"/>
                <w:kern w:val="0"/>
                <w:sz w:val="18"/>
                <w:szCs w:val="18"/>
                <w:lang w:bidi="ar"/>
              </w:rPr>
              <w:t>≤0</w:t>
            </w:r>
          </w:p>
        </w:tc>
        <w:tc>
          <w:tcPr>
            <w:tcW w:w="1208" w:type="pct"/>
            <w:tcBorders>
              <w:top w:val="single" w:color="000000" w:sz="4" w:space="0"/>
              <w:left w:val="single" w:color="000000" w:sz="4" w:space="0"/>
              <w:bottom w:val="single" w:color="000000" w:sz="4" w:space="0"/>
              <w:right w:val="single" w:color="000000" w:sz="4" w:space="0"/>
            </w:tcBorders>
            <w:noWrap/>
            <w:vAlign w:val="center"/>
          </w:tcPr>
          <w:p w14:paraId="200B1620">
            <w:pPr>
              <w:widowControl/>
              <w:spacing w:before="0" w:beforeLines="0"/>
              <w:ind w:firstLine="0" w:firstLineChars="0"/>
              <w:jc w:val="center"/>
              <w:textAlignment w:val="center"/>
              <w:rPr>
                <w:rFonts w:hint="eastAsia" w:cs="宋体"/>
                <w:color w:val="000000"/>
                <w:kern w:val="0"/>
                <w:sz w:val="18"/>
                <w:szCs w:val="18"/>
                <w:lang w:bidi="ar"/>
              </w:rPr>
            </w:pPr>
            <m:oMath>
              <m:r>
                <m:rPr/>
                <w:rPr>
                  <w:rFonts w:hint="eastAsia" w:ascii="Cambria Math" w:hAnsi="Cambria Math" w:cs="宋体"/>
                  <w:sz w:val="18"/>
                  <w:szCs w:val="18"/>
                </w:rPr>
                <m:t>∆ESI</m:t>
              </m:r>
            </m:oMath>
            <w:r>
              <w:rPr>
                <w:rFonts w:hint="eastAsia" w:cs="宋体"/>
                <w:color w:val="000000"/>
                <w:kern w:val="0"/>
                <w:sz w:val="18"/>
                <w:szCs w:val="18"/>
                <w:lang w:bidi="ar"/>
              </w:rPr>
              <w:t>≤0</w:t>
            </w:r>
          </w:p>
        </w:tc>
        <w:tc>
          <w:tcPr>
            <w:tcW w:w="1007" w:type="pct"/>
            <w:tcBorders>
              <w:top w:val="single" w:color="000000" w:sz="4" w:space="0"/>
              <w:left w:val="single" w:color="000000" w:sz="4" w:space="0"/>
              <w:bottom w:val="single" w:color="000000" w:sz="4" w:space="0"/>
              <w:right w:val="single" w:color="000000" w:sz="4" w:space="0"/>
            </w:tcBorders>
            <w:noWrap/>
            <w:vAlign w:val="center"/>
          </w:tcPr>
          <w:p w14:paraId="0F595B50">
            <w:pPr>
              <w:widowControl/>
              <w:spacing w:before="0" w:beforeLines="0"/>
              <w:ind w:firstLine="0" w:firstLineChars="0"/>
              <w:jc w:val="center"/>
              <w:textAlignment w:val="center"/>
              <w:rPr>
                <w:rFonts w:hint="eastAsia" w:cs="宋体"/>
                <w:color w:val="000000"/>
                <w:sz w:val="18"/>
                <w:szCs w:val="18"/>
              </w:rPr>
            </w:pPr>
            <m:oMath>
              <m:r>
                <m:rPr/>
                <w:rPr>
                  <w:rFonts w:hint="eastAsia" w:ascii="Cambria Math" w:hAnsi="Cambria Math" w:cs="宋体"/>
                  <w:sz w:val="18"/>
                  <w:szCs w:val="18"/>
                </w:rPr>
                <m:t>ESQI</m:t>
              </m:r>
            </m:oMath>
            <w:r>
              <w:rPr>
                <w:rFonts w:hint="eastAsia" w:cs="宋体"/>
                <w:color w:val="000000"/>
                <w:kern w:val="0"/>
                <w:sz w:val="18"/>
                <w:szCs w:val="18"/>
                <w:lang w:bidi="ar"/>
              </w:rPr>
              <w:t>≤0</w:t>
            </w:r>
          </w:p>
        </w:tc>
      </w:tr>
      <w:tr w14:paraId="1F00285F">
        <w:tblPrEx>
          <w:tblCellMar>
            <w:top w:w="0" w:type="dxa"/>
            <w:left w:w="108" w:type="dxa"/>
            <w:bottom w:w="0" w:type="dxa"/>
            <w:right w:w="108" w:type="dxa"/>
          </w:tblCellMar>
        </w:tblPrEx>
        <w:trPr>
          <w:trHeight w:val="35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6EFCF33F">
            <w:pPr>
              <w:widowControl/>
              <w:spacing w:before="156"/>
              <w:ind w:firstLine="0" w:firstLineChars="0"/>
              <w:jc w:val="center"/>
              <w:textAlignment w:val="center"/>
              <w:rPr>
                <w:rFonts w:hint="eastAsia" w:cs="宋体"/>
                <w:color w:val="000000"/>
                <w:sz w:val="18"/>
                <w:szCs w:val="18"/>
              </w:rPr>
            </w:pPr>
            <w:r>
              <w:rPr>
                <w:rFonts w:hint="eastAsia" w:cs="宋体"/>
                <w:color w:val="000000"/>
                <w:kern w:val="0"/>
                <w:sz w:val="18"/>
                <w:szCs w:val="18"/>
                <w:lang w:bidi="ar"/>
              </w:rPr>
              <w:t>合格</w:t>
            </w:r>
          </w:p>
        </w:tc>
        <w:tc>
          <w:tcPr>
            <w:tcW w:w="1209" w:type="pct"/>
            <w:tcBorders>
              <w:top w:val="single" w:color="000000" w:sz="4" w:space="0"/>
              <w:left w:val="single" w:color="000000" w:sz="4" w:space="0"/>
              <w:bottom w:val="single" w:color="000000" w:sz="4" w:space="0"/>
              <w:right w:val="single" w:color="000000" w:sz="4" w:space="0"/>
            </w:tcBorders>
            <w:noWrap/>
            <w:vAlign w:val="center"/>
          </w:tcPr>
          <w:p w14:paraId="475A856E">
            <w:pPr>
              <w:widowControl/>
              <w:spacing w:before="0" w:beforeLines="0"/>
              <w:ind w:firstLine="0" w:firstLineChars="0"/>
              <w:jc w:val="center"/>
              <w:textAlignment w:val="center"/>
              <w:rPr>
                <w:rFonts w:hint="eastAsia" w:cs="宋体"/>
                <w:color w:val="000000"/>
                <w:sz w:val="18"/>
                <w:szCs w:val="18"/>
              </w:rPr>
            </w:pPr>
            <w:r>
              <w:rPr>
                <w:rFonts w:hint="eastAsia" w:cs="宋体"/>
                <w:color w:val="000000"/>
                <w:kern w:val="0"/>
                <w:sz w:val="18"/>
                <w:szCs w:val="18"/>
                <w:lang w:bidi="ar"/>
              </w:rPr>
              <w:t>0&lt;</w:t>
            </w:r>
            <m:oMath>
              <m:r>
                <m:rPr/>
                <w:rPr>
                  <w:rFonts w:hint="eastAsia" w:ascii="Cambria Math" w:hAnsi="Cambria Math" w:cs="宋体"/>
                  <w:sz w:val="18"/>
                  <w:szCs w:val="18"/>
                </w:rPr>
                <m:t>∆OQI</m:t>
              </m:r>
            </m:oMath>
            <w:r>
              <w:rPr>
                <w:rFonts w:hint="eastAsia" w:cs="宋体"/>
                <w:color w:val="000000"/>
                <w:kern w:val="0"/>
                <w:sz w:val="18"/>
                <w:szCs w:val="18"/>
                <w:lang w:bidi="ar"/>
              </w:rPr>
              <w:t>≤1%</w:t>
            </w:r>
          </w:p>
        </w:tc>
        <w:tc>
          <w:tcPr>
            <w:tcW w:w="997" w:type="pct"/>
            <w:tcBorders>
              <w:top w:val="single" w:color="000000" w:sz="4" w:space="0"/>
              <w:left w:val="single" w:color="000000" w:sz="4" w:space="0"/>
              <w:bottom w:val="single" w:color="000000" w:sz="4" w:space="0"/>
              <w:right w:val="single" w:color="000000" w:sz="4" w:space="0"/>
            </w:tcBorders>
            <w:noWrap/>
            <w:vAlign w:val="center"/>
          </w:tcPr>
          <w:p w14:paraId="470AC59C">
            <w:pPr>
              <w:widowControl/>
              <w:spacing w:before="0" w:beforeLines="0"/>
              <w:ind w:firstLine="0" w:firstLineChars="0"/>
              <w:jc w:val="center"/>
              <w:textAlignment w:val="center"/>
              <w:rPr>
                <w:rFonts w:hint="eastAsia" w:cs="宋体"/>
                <w:color w:val="000000"/>
                <w:sz w:val="18"/>
                <w:szCs w:val="18"/>
              </w:rPr>
            </w:pPr>
            <w:r>
              <w:rPr>
                <w:rFonts w:hint="eastAsia" w:cs="宋体"/>
                <w:color w:val="000000"/>
                <w:kern w:val="0"/>
                <w:sz w:val="18"/>
                <w:szCs w:val="18"/>
                <w:lang w:bidi="ar"/>
              </w:rPr>
              <w:t>0&lt;</w:t>
            </w:r>
            <m:oMath>
              <m:r>
                <m:rPr/>
                <w:rPr>
                  <w:rFonts w:hint="eastAsia" w:ascii="Cambria Math" w:hAnsi="Cambria Math" w:cs="宋体"/>
                  <w:sz w:val="18"/>
                  <w:szCs w:val="18"/>
                </w:rPr>
                <m:t>∆EQI</m:t>
              </m:r>
            </m:oMath>
            <w:r>
              <w:rPr>
                <w:rFonts w:hint="eastAsia" w:cs="宋体"/>
                <w:color w:val="000000"/>
                <w:kern w:val="0"/>
                <w:sz w:val="18"/>
                <w:szCs w:val="18"/>
                <w:lang w:bidi="ar"/>
              </w:rPr>
              <w:t>≤1%</w:t>
            </w:r>
          </w:p>
        </w:tc>
        <w:tc>
          <w:tcPr>
            <w:tcW w:w="1208" w:type="pct"/>
            <w:tcBorders>
              <w:top w:val="single" w:color="000000" w:sz="4" w:space="0"/>
              <w:left w:val="single" w:color="000000" w:sz="4" w:space="0"/>
              <w:bottom w:val="single" w:color="000000" w:sz="4" w:space="0"/>
              <w:right w:val="single" w:color="000000" w:sz="4" w:space="0"/>
            </w:tcBorders>
            <w:noWrap/>
            <w:vAlign w:val="center"/>
          </w:tcPr>
          <w:p w14:paraId="2F6F9808">
            <w:pPr>
              <w:widowControl/>
              <w:spacing w:before="0" w:beforeLines="0"/>
              <w:ind w:firstLine="0" w:firstLineChars="0"/>
              <w:jc w:val="center"/>
              <w:textAlignment w:val="center"/>
              <w:rPr>
                <w:rFonts w:hint="eastAsia" w:cs="宋体"/>
                <w:color w:val="000000"/>
                <w:kern w:val="0"/>
                <w:sz w:val="18"/>
                <w:szCs w:val="18"/>
                <w:lang w:bidi="ar"/>
              </w:rPr>
            </w:pPr>
            <w:r>
              <w:rPr>
                <w:rFonts w:hint="eastAsia" w:cs="宋体"/>
                <w:color w:val="000000"/>
                <w:kern w:val="0"/>
                <w:sz w:val="18"/>
                <w:szCs w:val="18"/>
                <w:lang w:bidi="ar"/>
              </w:rPr>
              <w:t>0&lt;</w:t>
            </w:r>
            <m:oMath>
              <m:r>
                <m:rPr/>
                <w:rPr>
                  <w:rFonts w:hint="eastAsia" w:ascii="Cambria Math" w:hAnsi="Cambria Math" w:cs="宋体"/>
                  <w:sz w:val="18"/>
                  <w:szCs w:val="18"/>
                </w:rPr>
                <m:t>∆ESI</m:t>
              </m:r>
            </m:oMath>
            <w:r>
              <w:rPr>
                <w:rFonts w:hint="eastAsia" w:cs="宋体"/>
                <w:color w:val="000000"/>
                <w:kern w:val="0"/>
                <w:sz w:val="18"/>
                <w:szCs w:val="18"/>
                <w:lang w:bidi="ar"/>
              </w:rPr>
              <w:t>≤1%</w:t>
            </w:r>
          </w:p>
        </w:tc>
        <w:tc>
          <w:tcPr>
            <w:tcW w:w="1007" w:type="pct"/>
            <w:tcBorders>
              <w:top w:val="single" w:color="000000" w:sz="4" w:space="0"/>
              <w:left w:val="single" w:color="000000" w:sz="4" w:space="0"/>
              <w:bottom w:val="single" w:color="000000" w:sz="4" w:space="0"/>
              <w:right w:val="single" w:color="000000" w:sz="4" w:space="0"/>
            </w:tcBorders>
            <w:noWrap/>
            <w:vAlign w:val="center"/>
          </w:tcPr>
          <w:p w14:paraId="648ECEDC">
            <w:pPr>
              <w:widowControl/>
              <w:spacing w:before="0" w:beforeLines="0"/>
              <w:ind w:firstLine="0" w:firstLineChars="0"/>
              <w:jc w:val="center"/>
              <w:textAlignment w:val="center"/>
              <w:rPr>
                <w:rFonts w:hint="eastAsia" w:cs="宋体"/>
                <w:color w:val="000000"/>
                <w:sz w:val="18"/>
                <w:szCs w:val="18"/>
              </w:rPr>
            </w:pPr>
            <w:r>
              <w:rPr>
                <w:rFonts w:hint="eastAsia" w:cs="宋体"/>
                <w:color w:val="000000"/>
                <w:kern w:val="0"/>
                <w:sz w:val="18"/>
                <w:szCs w:val="18"/>
                <w:lang w:bidi="ar"/>
              </w:rPr>
              <w:t>0&lt;</w:t>
            </w:r>
            <m:oMath>
              <m:r>
                <m:rPr/>
                <w:rPr>
                  <w:rFonts w:hint="eastAsia" w:ascii="Cambria Math" w:hAnsi="Cambria Math" w:cs="宋体"/>
                  <w:sz w:val="18"/>
                  <w:szCs w:val="18"/>
                </w:rPr>
                <m:t>ESQI</m:t>
              </m:r>
            </m:oMath>
            <w:r>
              <w:rPr>
                <w:rFonts w:hint="eastAsia" w:cs="宋体"/>
                <w:color w:val="000000"/>
                <w:kern w:val="0"/>
                <w:sz w:val="18"/>
                <w:szCs w:val="18"/>
                <w:lang w:bidi="ar"/>
              </w:rPr>
              <w:t>≤1%</w:t>
            </w:r>
          </w:p>
        </w:tc>
      </w:tr>
      <w:tr w14:paraId="4F52D5DB">
        <w:tblPrEx>
          <w:tblCellMar>
            <w:top w:w="0" w:type="dxa"/>
            <w:left w:w="108" w:type="dxa"/>
            <w:bottom w:w="0" w:type="dxa"/>
            <w:right w:w="108" w:type="dxa"/>
          </w:tblCellMar>
        </w:tblPrEx>
        <w:trPr>
          <w:trHeight w:val="411"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022EB9F9">
            <w:pPr>
              <w:widowControl/>
              <w:spacing w:before="156"/>
              <w:ind w:firstLine="0" w:firstLineChars="0"/>
              <w:jc w:val="center"/>
              <w:textAlignment w:val="center"/>
              <w:rPr>
                <w:rFonts w:hint="eastAsia" w:cs="宋体"/>
                <w:color w:val="000000"/>
                <w:sz w:val="18"/>
                <w:szCs w:val="18"/>
              </w:rPr>
            </w:pPr>
            <w:r>
              <w:rPr>
                <w:rFonts w:hint="eastAsia" w:cs="宋体"/>
                <w:color w:val="000000"/>
                <w:kern w:val="0"/>
                <w:sz w:val="18"/>
                <w:szCs w:val="18"/>
                <w:lang w:bidi="ar"/>
              </w:rPr>
              <w:t>良好</w:t>
            </w:r>
          </w:p>
        </w:tc>
        <w:tc>
          <w:tcPr>
            <w:tcW w:w="1209" w:type="pct"/>
            <w:tcBorders>
              <w:top w:val="single" w:color="000000" w:sz="4" w:space="0"/>
              <w:left w:val="single" w:color="000000" w:sz="4" w:space="0"/>
              <w:bottom w:val="single" w:color="000000" w:sz="4" w:space="0"/>
              <w:right w:val="single" w:color="000000" w:sz="4" w:space="0"/>
            </w:tcBorders>
            <w:noWrap/>
            <w:vAlign w:val="center"/>
          </w:tcPr>
          <w:p w14:paraId="732A352F">
            <w:pPr>
              <w:widowControl/>
              <w:spacing w:before="0" w:beforeLines="0"/>
              <w:ind w:firstLine="0" w:firstLineChars="0"/>
              <w:jc w:val="center"/>
              <w:textAlignment w:val="center"/>
              <w:rPr>
                <w:rFonts w:hint="eastAsia" w:cs="宋体"/>
                <w:color w:val="000000"/>
                <w:sz w:val="18"/>
                <w:szCs w:val="18"/>
              </w:rPr>
            </w:pPr>
            <w:r>
              <w:rPr>
                <w:rFonts w:hint="eastAsia" w:cs="宋体"/>
                <w:color w:val="000000"/>
                <w:kern w:val="0"/>
                <w:sz w:val="18"/>
                <w:szCs w:val="18"/>
                <w:lang w:bidi="ar"/>
              </w:rPr>
              <w:t>1%&lt;</w:t>
            </w:r>
            <m:oMath>
              <m:r>
                <m:rPr/>
                <w:rPr>
                  <w:rFonts w:hint="eastAsia" w:ascii="Cambria Math" w:hAnsi="Cambria Math" w:cs="宋体"/>
                  <w:sz w:val="18"/>
                  <w:szCs w:val="18"/>
                </w:rPr>
                <m:t>∆OQI</m:t>
              </m:r>
            </m:oMath>
            <w:r>
              <w:rPr>
                <w:rFonts w:hint="eastAsia" w:cs="宋体"/>
                <w:color w:val="000000"/>
                <w:kern w:val="0"/>
                <w:sz w:val="18"/>
                <w:szCs w:val="18"/>
                <w:lang w:bidi="ar"/>
              </w:rPr>
              <w:t>≤5%</w:t>
            </w:r>
          </w:p>
        </w:tc>
        <w:tc>
          <w:tcPr>
            <w:tcW w:w="997" w:type="pct"/>
            <w:tcBorders>
              <w:top w:val="single" w:color="000000" w:sz="4" w:space="0"/>
              <w:left w:val="single" w:color="000000" w:sz="4" w:space="0"/>
              <w:bottom w:val="single" w:color="000000" w:sz="4" w:space="0"/>
              <w:right w:val="single" w:color="000000" w:sz="4" w:space="0"/>
            </w:tcBorders>
            <w:noWrap/>
            <w:vAlign w:val="center"/>
          </w:tcPr>
          <w:p w14:paraId="3F638233">
            <w:pPr>
              <w:widowControl/>
              <w:spacing w:before="0" w:beforeLines="0"/>
              <w:ind w:firstLine="0" w:firstLineChars="0"/>
              <w:jc w:val="center"/>
              <w:textAlignment w:val="center"/>
              <w:rPr>
                <w:rFonts w:hint="eastAsia" w:cs="宋体"/>
                <w:color w:val="000000"/>
                <w:sz w:val="18"/>
                <w:szCs w:val="18"/>
              </w:rPr>
            </w:pPr>
            <w:r>
              <w:rPr>
                <w:rFonts w:hint="eastAsia" w:cs="宋体"/>
                <w:color w:val="000000"/>
                <w:kern w:val="0"/>
                <w:sz w:val="18"/>
                <w:szCs w:val="18"/>
                <w:lang w:bidi="ar"/>
              </w:rPr>
              <w:t>1%&lt;</w:t>
            </w:r>
            <m:oMath>
              <m:r>
                <m:rPr/>
                <w:rPr>
                  <w:rFonts w:hint="eastAsia" w:ascii="Cambria Math" w:hAnsi="Cambria Math" w:cs="宋体"/>
                  <w:sz w:val="18"/>
                  <w:szCs w:val="18"/>
                </w:rPr>
                <m:t>∆EQI</m:t>
              </m:r>
            </m:oMath>
            <w:r>
              <w:rPr>
                <w:rFonts w:hint="eastAsia" w:cs="宋体"/>
                <w:color w:val="000000"/>
                <w:kern w:val="0"/>
                <w:sz w:val="18"/>
                <w:szCs w:val="18"/>
                <w:lang w:bidi="ar"/>
              </w:rPr>
              <w:t>≤5%</w:t>
            </w:r>
          </w:p>
        </w:tc>
        <w:tc>
          <w:tcPr>
            <w:tcW w:w="1208" w:type="pct"/>
            <w:tcBorders>
              <w:top w:val="single" w:color="000000" w:sz="4" w:space="0"/>
              <w:left w:val="single" w:color="000000" w:sz="4" w:space="0"/>
              <w:bottom w:val="single" w:color="000000" w:sz="4" w:space="0"/>
              <w:right w:val="single" w:color="000000" w:sz="4" w:space="0"/>
            </w:tcBorders>
            <w:noWrap/>
            <w:vAlign w:val="center"/>
          </w:tcPr>
          <w:p w14:paraId="47A6B017">
            <w:pPr>
              <w:widowControl/>
              <w:spacing w:before="0" w:beforeLines="0"/>
              <w:ind w:firstLine="0" w:firstLineChars="0"/>
              <w:jc w:val="center"/>
              <w:textAlignment w:val="center"/>
              <w:rPr>
                <w:rFonts w:hint="eastAsia" w:cs="宋体"/>
                <w:color w:val="000000"/>
                <w:kern w:val="0"/>
                <w:sz w:val="18"/>
                <w:szCs w:val="18"/>
                <w:lang w:bidi="ar"/>
              </w:rPr>
            </w:pPr>
            <w:r>
              <w:rPr>
                <w:rFonts w:hint="eastAsia" w:cs="宋体"/>
                <w:color w:val="000000"/>
                <w:kern w:val="0"/>
                <w:sz w:val="18"/>
                <w:szCs w:val="18"/>
                <w:lang w:bidi="ar"/>
              </w:rPr>
              <w:t>1%&lt;</w:t>
            </w:r>
            <m:oMath>
              <m:r>
                <m:rPr/>
                <w:rPr>
                  <w:rFonts w:hint="eastAsia" w:ascii="Cambria Math" w:hAnsi="Cambria Math" w:cs="宋体"/>
                  <w:sz w:val="18"/>
                  <w:szCs w:val="18"/>
                </w:rPr>
                <m:t>∆ESI</m:t>
              </m:r>
            </m:oMath>
            <w:r>
              <w:rPr>
                <w:rFonts w:hint="eastAsia" w:cs="宋体"/>
                <w:color w:val="000000"/>
                <w:kern w:val="0"/>
                <w:sz w:val="18"/>
                <w:szCs w:val="18"/>
                <w:lang w:bidi="ar"/>
              </w:rPr>
              <w:t>≤5%</w:t>
            </w:r>
          </w:p>
        </w:tc>
        <w:tc>
          <w:tcPr>
            <w:tcW w:w="1007" w:type="pct"/>
            <w:tcBorders>
              <w:top w:val="single" w:color="000000" w:sz="4" w:space="0"/>
              <w:left w:val="single" w:color="000000" w:sz="4" w:space="0"/>
              <w:bottom w:val="single" w:color="000000" w:sz="4" w:space="0"/>
              <w:right w:val="single" w:color="000000" w:sz="4" w:space="0"/>
            </w:tcBorders>
            <w:noWrap/>
            <w:vAlign w:val="center"/>
          </w:tcPr>
          <w:p w14:paraId="0B79ED01">
            <w:pPr>
              <w:widowControl/>
              <w:spacing w:before="0" w:beforeLines="0"/>
              <w:ind w:firstLine="0" w:firstLineChars="0"/>
              <w:jc w:val="center"/>
              <w:textAlignment w:val="center"/>
              <w:rPr>
                <w:rFonts w:hint="eastAsia" w:cs="宋体"/>
                <w:color w:val="000000"/>
                <w:sz w:val="18"/>
                <w:szCs w:val="18"/>
              </w:rPr>
            </w:pPr>
            <w:r>
              <w:rPr>
                <w:rFonts w:hint="eastAsia" w:cs="宋体"/>
                <w:color w:val="000000"/>
                <w:kern w:val="0"/>
                <w:sz w:val="18"/>
                <w:szCs w:val="18"/>
                <w:lang w:bidi="ar"/>
              </w:rPr>
              <w:t>1%&lt;</w:t>
            </w:r>
            <m:oMath>
              <m:r>
                <m:rPr/>
                <w:rPr>
                  <w:rFonts w:hint="eastAsia" w:ascii="Cambria Math" w:hAnsi="Cambria Math" w:cs="宋体"/>
                  <w:sz w:val="18"/>
                  <w:szCs w:val="18"/>
                </w:rPr>
                <m:t>ESQI</m:t>
              </m:r>
            </m:oMath>
            <w:r>
              <w:rPr>
                <w:rFonts w:hint="eastAsia" w:cs="宋体"/>
                <w:color w:val="000000"/>
                <w:kern w:val="0"/>
                <w:sz w:val="18"/>
                <w:szCs w:val="18"/>
                <w:lang w:bidi="ar"/>
              </w:rPr>
              <w:t>≤5%</w:t>
            </w:r>
          </w:p>
        </w:tc>
      </w:tr>
      <w:tr w14:paraId="69037F45">
        <w:tblPrEx>
          <w:tblCellMar>
            <w:top w:w="0" w:type="dxa"/>
            <w:left w:w="108" w:type="dxa"/>
            <w:bottom w:w="0" w:type="dxa"/>
            <w:right w:w="108" w:type="dxa"/>
          </w:tblCellMar>
        </w:tblPrEx>
        <w:trPr>
          <w:trHeight w:val="35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1B8DFB69">
            <w:pPr>
              <w:widowControl/>
              <w:spacing w:before="156"/>
              <w:ind w:firstLine="0" w:firstLineChars="0"/>
              <w:jc w:val="center"/>
              <w:textAlignment w:val="center"/>
              <w:rPr>
                <w:rFonts w:hint="eastAsia" w:cs="宋体"/>
                <w:color w:val="000000"/>
                <w:sz w:val="18"/>
                <w:szCs w:val="18"/>
              </w:rPr>
            </w:pPr>
            <w:r>
              <w:rPr>
                <w:rFonts w:hint="eastAsia" w:cs="宋体"/>
                <w:color w:val="000000"/>
                <w:kern w:val="0"/>
                <w:sz w:val="18"/>
                <w:szCs w:val="18"/>
                <w:lang w:bidi="ar"/>
              </w:rPr>
              <w:t>优秀</w:t>
            </w:r>
          </w:p>
        </w:tc>
        <w:tc>
          <w:tcPr>
            <w:tcW w:w="1209" w:type="pct"/>
            <w:tcBorders>
              <w:top w:val="single" w:color="000000" w:sz="4" w:space="0"/>
              <w:left w:val="single" w:color="000000" w:sz="4" w:space="0"/>
              <w:bottom w:val="single" w:color="000000" w:sz="4" w:space="0"/>
              <w:right w:val="single" w:color="000000" w:sz="4" w:space="0"/>
            </w:tcBorders>
            <w:noWrap/>
            <w:vAlign w:val="center"/>
          </w:tcPr>
          <w:p w14:paraId="7F52320A">
            <w:pPr>
              <w:widowControl/>
              <w:spacing w:before="0" w:beforeLines="0"/>
              <w:ind w:firstLine="0" w:firstLineChars="0"/>
              <w:jc w:val="center"/>
              <w:textAlignment w:val="center"/>
              <w:rPr>
                <w:rFonts w:hint="eastAsia" w:cs="宋体"/>
                <w:color w:val="000000"/>
                <w:sz w:val="18"/>
                <w:szCs w:val="18"/>
              </w:rPr>
            </w:pPr>
            <m:oMath>
              <m:r>
                <m:rPr/>
                <w:rPr>
                  <w:rFonts w:hint="eastAsia" w:ascii="Cambria Math" w:hAnsi="Cambria Math" w:cs="宋体"/>
                  <w:sz w:val="18"/>
                  <w:szCs w:val="18"/>
                </w:rPr>
                <m:t>∆OQI</m:t>
              </m:r>
            </m:oMath>
            <w:r>
              <w:rPr>
                <w:rFonts w:hint="eastAsia" w:cs="宋体"/>
                <w:color w:val="000000"/>
                <w:kern w:val="0"/>
                <w:sz w:val="18"/>
                <w:szCs w:val="18"/>
                <w:lang w:bidi="ar"/>
              </w:rPr>
              <w:t>&gt;5%</w:t>
            </w:r>
          </w:p>
        </w:tc>
        <w:tc>
          <w:tcPr>
            <w:tcW w:w="997" w:type="pct"/>
            <w:tcBorders>
              <w:top w:val="single" w:color="000000" w:sz="4" w:space="0"/>
              <w:left w:val="single" w:color="000000" w:sz="4" w:space="0"/>
              <w:bottom w:val="single" w:color="000000" w:sz="4" w:space="0"/>
              <w:right w:val="single" w:color="000000" w:sz="4" w:space="0"/>
            </w:tcBorders>
            <w:noWrap/>
            <w:vAlign w:val="center"/>
          </w:tcPr>
          <w:p w14:paraId="2F8D3187">
            <w:pPr>
              <w:widowControl/>
              <w:spacing w:before="0" w:beforeLines="0"/>
              <w:ind w:firstLine="0" w:firstLineChars="0"/>
              <w:jc w:val="center"/>
              <w:textAlignment w:val="center"/>
              <w:rPr>
                <w:rFonts w:hint="eastAsia" w:cs="宋体"/>
                <w:color w:val="000000"/>
                <w:sz w:val="18"/>
                <w:szCs w:val="18"/>
              </w:rPr>
            </w:pPr>
            <m:oMath>
              <m:r>
                <m:rPr/>
                <w:rPr>
                  <w:rFonts w:hint="eastAsia" w:ascii="Cambria Math" w:hAnsi="Cambria Math" w:cs="宋体"/>
                  <w:sz w:val="18"/>
                  <w:szCs w:val="18"/>
                </w:rPr>
                <m:t>∆EQI</m:t>
              </m:r>
            </m:oMath>
            <w:r>
              <w:rPr>
                <w:rFonts w:hint="eastAsia" w:cs="宋体"/>
                <w:color w:val="000000"/>
                <w:kern w:val="0"/>
                <w:sz w:val="18"/>
                <w:szCs w:val="18"/>
                <w:lang w:bidi="ar"/>
              </w:rPr>
              <w:t>&gt;5%</w:t>
            </w:r>
          </w:p>
        </w:tc>
        <w:tc>
          <w:tcPr>
            <w:tcW w:w="1208" w:type="pct"/>
            <w:tcBorders>
              <w:top w:val="single" w:color="000000" w:sz="4" w:space="0"/>
              <w:left w:val="single" w:color="000000" w:sz="4" w:space="0"/>
              <w:bottom w:val="single" w:color="000000" w:sz="4" w:space="0"/>
              <w:right w:val="single" w:color="000000" w:sz="4" w:space="0"/>
            </w:tcBorders>
            <w:noWrap/>
            <w:vAlign w:val="center"/>
          </w:tcPr>
          <w:p w14:paraId="60578F8D">
            <w:pPr>
              <w:widowControl/>
              <w:spacing w:before="0" w:beforeLines="0"/>
              <w:ind w:firstLine="0" w:firstLineChars="0"/>
              <w:jc w:val="center"/>
              <w:textAlignment w:val="center"/>
              <w:rPr>
                <w:rFonts w:hint="eastAsia" w:cs="宋体"/>
                <w:color w:val="000000"/>
                <w:kern w:val="0"/>
                <w:sz w:val="18"/>
                <w:szCs w:val="18"/>
                <w:lang w:bidi="ar"/>
              </w:rPr>
            </w:pPr>
            <m:oMath>
              <m:r>
                <m:rPr/>
                <w:rPr>
                  <w:rFonts w:hint="eastAsia" w:ascii="Cambria Math" w:hAnsi="Cambria Math" w:cs="宋体"/>
                  <w:sz w:val="18"/>
                  <w:szCs w:val="18"/>
                </w:rPr>
                <m:t>∆ESI</m:t>
              </m:r>
            </m:oMath>
            <w:r>
              <w:rPr>
                <w:rFonts w:hint="eastAsia" w:cs="宋体"/>
                <w:color w:val="000000"/>
                <w:kern w:val="0"/>
                <w:sz w:val="18"/>
                <w:szCs w:val="18"/>
                <w:lang w:bidi="ar"/>
              </w:rPr>
              <w:t>&gt;5%</w:t>
            </w:r>
          </w:p>
        </w:tc>
        <w:tc>
          <w:tcPr>
            <w:tcW w:w="1007" w:type="pct"/>
            <w:tcBorders>
              <w:top w:val="single" w:color="000000" w:sz="4" w:space="0"/>
              <w:left w:val="single" w:color="000000" w:sz="4" w:space="0"/>
              <w:bottom w:val="single" w:color="000000" w:sz="4" w:space="0"/>
              <w:right w:val="single" w:color="000000" w:sz="4" w:space="0"/>
            </w:tcBorders>
            <w:noWrap/>
            <w:vAlign w:val="center"/>
          </w:tcPr>
          <w:p w14:paraId="6C9FE957">
            <w:pPr>
              <w:widowControl/>
              <w:spacing w:before="0" w:beforeLines="0"/>
              <w:ind w:firstLine="0" w:firstLineChars="0"/>
              <w:jc w:val="center"/>
              <w:textAlignment w:val="center"/>
              <w:rPr>
                <w:rFonts w:hint="eastAsia" w:cs="宋体"/>
                <w:color w:val="000000"/>
                <w:sz w:val="18"/>
                <w:szCs w:val="18"/>
              </w:rPr>
            </w:pPr>
            <m:oMath>
              <m:r>
                <m:rPr/>
                <w:rPr>
                  <w:rFonts w:hint="eastAsia" w:ascii="Cambria Math" w:hAnsi="Cambria Math" w:cs="宋体"/>
                  <w:sz w:val="18"/>
                  <w:szCs w:val="18"/>
                </w:rPr>
                <m:t>ESQI</m:t>
              </m:r>
            </m:oMath>
            <w:r>
              <w:rPr>
                <w:rFonts w:hint="eastAsia" w:cs="宋体"/>
                <w:color w:val="000000"/>
                <w:kern w:val="0"/>
                <w:sz w:val="18"/>
                <w:szCs w:val="18"/>
                <w:lang w:bidi="ar"/>
              </w:rPr>
              <w:t>&gt;5%</w:t>
            </w:r>
          </w:p>
        </w:tc>
      </w:tr>
      <w:tr w14:paraId="59CB36F8">
        <w:tblPrEx>
          <w:tblCellMar>
            <w:top w:w="0" w:type="dxa"/>
            <w:left w:w="108" w:type="dxa"/>
            <w:bottom w:w="0" w:type="dxa"/>
            <w:right w:w="108" w:type="dxa"/>
          </w:tblCellMar>
        </w:tblPrEx>
        <w:trPr>
          <w:trHeight w:val="350" w:hRule="atLeast"/>
        </w:trPr>
        <w:tc>
          <w:tcPr>
            <w:tcW w:w="5000" w:type="pct"/>
            <w:gridSpan w:val="5"/>
            <w:tcBorders>
              <w:top w:val="single" w:color="000000" w:sz="4" w:space="0"/>
              <w:left w:val="single" w:color="000000" w:sz="4" w:space="0"/>
              <w:bottom w:val="single" w:color="000000" w:sz="4" w:space="0"/>
              <w:right w:val="single" w:color="000000" w:sz="4" w:space="0"/>
            </w:tcBorders>
            <w:vAlign w:val="center"/>
          </w:tcPr>
          <w:p w14:paraId="01AD3348">
            <w:pPr>
              <w:pStyle w:val="69"/>
              <w:numPr>
                <w:ilvl w:val="0"/>
                <w:numId w:val="9"/>
              </w:numPr>
              <w:spacing w:before="0" w:beforeLines="0"/>
              <w:rPr>
                <w:rFonts w:ascii="Cambria Math" w:hAnsi="Cambria Math" w:cs="宋体"/>
                <w:sz w:val="18"/>
                <w:szCs w:val="18"/>
                <w:oMath/>
              </w:rPr>
            </w:pPr>
            <w:r>
              <w:rPr>
                <w:rFonts w:hint="eastAsia"/>
                <w:sz w:val="18"/>
                <w:szCs w:val="18"/>
              </w:rPr>
              <w:t>任一级约束性指标不合格，综合评价等级直接定为不合格。</w:t>
            </w:r>
          </w:p>
        </w:tc>
      </w:tr>
    </w:tbl>
    <w:p w14:paraId="1678A514">
      <w:pPr>
        <w:spacing w:before="156"/>
        <w:ind w:firstLine="420"/>
        <w:jc w:val="center"/>
        <w:rPr>
          <w:rFonts w:hint="eastAsia" w:cs="黑体"/>
          <w:szCs w:val="21"/>
        </w:rPr>
      </w:pPr>
      <w:bookmarkStart w:id="551" w:name="_Toc14675"/>
      <w:bookmarkStart w:id="552" w:name="_Toc16043"/>
      <w:bookmarkStart w:id="553" w:name="_Toc12023"/>
      <w:bookmarkStart w:id="554" w:name="_Toc13405"/>
      <w:bookmarkStart w:id="555" w:name="_Toc13777"/>
      <w:bookmarkStart w:id="556" w:name="_Toc6037"/>
      <w:bookmarkStart w:id="557" w:name="_Toc20155"/>
      <w:bookmarkStart w:id="558" w:name="_Toc9974"/>
      <w:bookmarkStart w:id="559" w:name="_Toc20958"/>
      <w:bookmarkStart w:id="560" w:name="_Toc22968"/>
      <w:bookmarkStart w:id="561" w:name="_Toc20262"/>
      <w:bookmarkStart w:id="562" w:name="OLE_LINK36"/>
      <w:bookmarkStart w:id="563" w:name="_Toc30907"/>
      <w:bookmarkStart w:id="564" w:name="_Toc22365"/>
      <w:bookmarkStart w:id="565" w:name="_Toc9582"/>
      <w:bookmarkStart w:id="566" w:name="_Toc9212"/>
      <w:r>
        <w:rPr>
          <w:rFonts w:cs="黑体"/>
          <w:szCs w:val="21"/>
        </w:rPr>
        <w:br w:type="page"/>
      </w:r>
    </w:p>
    <w:bookmarkEnd w:id="551"/>
    <w:bookmarkEnd w:id="552"/>
    <w:bookmarkEnd w:id="553"/>
    <w:bookmarkEnd w:id="554"/>
    <w:bookmarkEnd w:id="555"/>
    <w:bookmarkEnd w:id="556"/>
    <w:bookmarkEnd w:id="557"/>
    <w:bookmarkEnd w:id="558"/>
    <w:p w14:paraId="460C821B">
      <w:pPr>
        <w:pStyle w:val="51"/>
        <w:tabs>
          <w:tab w:val="left" w:pos="360"/>
          <w:tab w:val="left" w:pos="6405"/>
        </w:tabs>
        <w:adjustRightInd/>
        <w:snapToGrid/>
        <w:spacing w:beforeLines="0" w:after="0"/>
        <w:rPr>
          <w:rFonts w:hint="eastAsia"/>
        </w:rPr>
      </w:pPr>
    </w:p>
    <w:p w14:paraId="29E1C692">
      <w:pPr>
        <w:pStyle w:val="51"/>
        <w:numPr>
          <w:ilvl w:val="255"/>
          <w:numId w:val="0"/>
        </w:numPr>
        <w:tabs>
          <w:tab w:val="left" w:pos="360"/>
          <w:tab w:val="left" w:pos="6405"/>
        </w:tabs>
        <w:snapToGrid/>
        <w:spacing w:before="156" w:after="0"/>
        <w:outlineLvl w:val="2"/>
        <w:rPr>
          <w:rFonts w:hAnsi="Times New Roman" w:cs="Times New Roman"/>
        </w:rPr>
      </w:pPr>
      <w:bookmarkStart w:id="567" w:name="_Toc908"/>
      <w:bookmarkStart w:id="568" w:name="_Toc15635"/>
      <w:bookmarkStart w:id="569" w:name="_Toc4344"/>
      <w:bookmarkStart w:id="570" w:name="_Toc7336"/>
      <w:bookmarkStart w:id="571" w:name="_Toc7075"/>
      <w:r>
        <w:rPr>
          <w:rFonts w:hAnsi="Times New Roman" w:cs="Times New Roman"/>
        </w:rPr>
        <w:t>（资料性）</w:t>
      </w:r>
      <w:bookmarkEnd w:id="567"/>
      <w:bookmarkEnd w:id="568"/>
      <w:bookmarkEnd w:id="569"/>
      <w:bookmarkEnd w:id="570"/>
      <w:bookmarkEnd w:id="571"/>
    </w:p>
    <w:p w14:paraId="59279AB3">
      <w:pPr>
        <w:pStyle w:val="51"/>
        <w:numPr>
          <w:ilvl w:val="255"/>
          <w:numId w:val="0"/>
        </w:numPr>
        <w:tabs>
          <w:tab w:val="left" w:pos="360"/>
          <w:tab w:val="left" w:pos="6405"/>
        </w:tabs>
        <w:snapToGrid/>
        <w:spacing w:before="156" w:after="0"/>
        <w:outlineLvl w:val="2"/>
        <w:rPr>
          <w:rFonts w:hAnsi="Times New Roman" w:cs="Times New Roman"/>
        </w:rPr>
      </w:pPr>
      <w:r>
        <w:rPr>
          <w:rFonts w:hAnsi="Times New Roman" w:cs="Times New Roman"/>
        </w:rPr>
        <w:t>报告编制大纲</w:t>
      </w:r>
    </w:p>
    <w:bookmarkEnd w:id="559"/>
    <w:bookmarkEnd w:id="560"/>
    <w:bookmarkEnd w:id="561"/>
    <w:bookmarkEnd w:id="562"/>
    <w:bookmarkEnd w:id="563"/>
    <w:bookmarkEnd w:id="564"/>
    <w:bookmarkEnd w:id="565"/>
    <w:bookmarkEnd w:id="566"/>
    <w:p w14:paraId="40F67A9B">
      <w:pPr>
        <w:spacing w:before="156"/>
        <w:ind w:firstLine="0" w:firstLineChars="0"/>
        <w:jc w:val="left"/>
        <w:outlineLvl w:val="2"/>
        <w:rPr>
          <w:rFonts w:hint="eastAsia" w:ascii="黑体" w:hAnsi="黑体" w:eastAsia="黑体" w:cs="Times New Roman"/>
          <w:kern w:val="0"/>
          <w:szCs w:val="20"/>
          <w:lang w:bidi="ar"/>
        </w:rPr>
      </w:pPr>
      <w:r>
        <w:rPr>
          <w:rFonts w:hint="default" w:ascii="黑体" w:hAnsi="黑体" w:eastAsia="黑体" w:cs="Times New Roman"/>
          <w:kern w:val="0"/>
          <w:szCs w:val="20"/>
          <w:lang w:bidi="ar"/>
        </w:rPr>
        <w:t xml:space="preserve">附录D </w:t>
      </w:r>
      <w:r>
        <w:rPr>
          <w:rFonts w:ascii="黑体" w:hAnsi="黑体" w:eastAsia="黑体" w:cs="Times New Roman"/>
          <w:kern w:val="0"/>
          <w:szCs w:val="20"/>
          <w:lang w:bidi="ar"/>
        </w:rPr>
        <w:t>规定了国土空间生态修复规划实施后期评估</w:t>
      </w:r>
      <w:r>
        <w:rPr>
          <w:rFonts w:hint="eastAsia" w:ascii="黑体" w:hAnsi="黑体" w:eastAsia="黑体" w:cs="Times New Roman"/>
          <w:kern w:val="0"/>
          <w:szCs w:val="20"/>
          <w:lang w:bidi="ar"/>
        </w:rPr>
        <w:t>报告</w:t>
      </w:r>
      <w:r>
        <w:rPr>
          <w:rFonts w:ascii="黑体" w:hAnsi="黑体" w:eastAsia="黑体" w:cs="Times New Roman"/>
          <w:kern w:val="0"/>
          <w:szCs w:val="20"/>
          <w:lang w:bidi="ar"/>
        </w:rPr>
        <w:t>的编制</w:t>
      </w:r>
      <w:r>
        <w:rPr>
          <w:rFonts w:hint="eastAsia" w:ascii="黑体" w:hAnsi="黑体" w:eastAsia="黑体" w:cs="Times New Roman"/>
          <w:kern w:val="0"/>
          <w:szCs w:val="20"/>
          <w:lang w:bidi="ar"/>
        </w:rPr>
        <w:t>大纲</w:t>
      </w:r>
    </w:p>
    <w:p w14:paraId="66CB437F">
      <w:pPr>
        <w:pStyle w:val="63"/>
        <w:spacing w:before="312" w:beforeLines="100" w:after="312" w:afterLines="100"/>
        <w:outlineLvl w:val="1"/>
        <w:rPr>
          <w:rFonts w:hint="eastAsia" w:ascii="黑体" w:hAnsi="黑体" w:eastAsia="黑体" w:cs="黑体"/>
        </w:rPr>
      </w:pPr>
      <w:bookmarkStart w:id="572" w:name="_Toc23738"/>
      <w:bookmarkStart w:id="573" w:name="_Toc4122"/>
      <w:bookmarkStart w:id="574" w:name="_Toc22492"/>
      <w:bookmarkStart w:id="575" w:name="_Toc7730"/>
      <w:bookmarkStart w:id="576" w:name="_Toc17937"/>
      <w:bookmarkStart w:id="577" w:name="_Toc22059"/>
      <w:bookmarkStart w:id="578" w:name="_Toc11909"/>
      <w:bookmarkStart w:id="579" w:name="_Toc30181"/>
      <w:bookmarkStart w:id="580" w:name="_Toc31265"/>
      <w:r>
        <w:rPr>
          <w:rFonts w:hint="eastAsia" w:ascii="黑体" w:hAnsi="黑体" w:eastAsia="黑体" w:cs="黑体"/>
        </w:rPr>
        <w:t>前言</w:t>
      </w:r>
      <w:bookmarkEnd w:id="572"/>
      <w:bookmarkEnd w:id="573"/>
      <w:bookmarkEnd w:id="574"/>
      <w:bookmarkEnd w:id="575"/>
      <w:bookmarkEnd w:id="576"/>
      <w:bookmarkEnd w:id="577"/>
      <w:bookmarkEnd w:id="578"/>
      <w:bookmarkEnd w:id="579"/>
      <w:bookmarkEnd w:id="580"/>
    </w:p>
    <w:p w14:paraId="0E1F0FFC">
      <w:pPr>
        <w:spacing w:before="0" w:beforeLines="0"/>
        <w:ind w:firstLine="420"/>
        <w:rPr>
          <w:rFonts w:hint="eastAsia"/>
        </w:rPr>
      </w:pPr>
      <w:r>
        <w:rPr>
          <w:rFonts w:hint="eastAsia"/>
        </w:rPr>
        <w:t>概述评估任务来源、编制依据、工作组织过程、评估目标与范围，简述评估主要结论，总结规划实施成效、存在的主要问题，并提出针对性对策建议方向</w:t>
      </w:r>
      <w:r>
        <w:t>。</w:t>
      </w:r>
    </w:p>
    <w:p w14:paraId="1BDB1E10">
      <w:pPr>
        <w:pStyle w:val="63"/>
        <w:spacing w:before="312" w:beforeLines="100" w:after="312" w:afterLines="100"/>
        <w:outlineLvl w:val="1"/>
        <w:rPr>
          <w:rFonts w:hint="eastAsia" w:ascii="黑体" w:hAnsi="黑体" w:eastAsia="黑体" w:cs="黑体"/>
        </w:rPr>
      </w:pPr>
      <w:bookmarkStart w:id="581" w:name="_Toc20120"/>
      <w:bookmarkStart w:id="582" w:name="_Toc32633"/>
      <w:bookmarkStart w:id="583" w:name="_Toc21238"/>
      <w:bookmarkStart w:id="584" w:name="_Toc14098"/>
      <w:bookmarkStart w:id="585" w:name="_Toc30495"/>
      <w:bookmarkStart w:id="586" w:name="_Toc13413"/>
      <w:bookmarkStart w:id="587" w:name="_Toc15655"/>
      <w:bookmarkStart w:id="588" w:name="_Toc6235"/>
      <w:bookmarkStart w:id="589" w:name="_Toc4245"/>
      <w:r>
        <w:rPr>
          <w:rFonts w:hint="eastAsia" w:ascii="黑体" w:hAnsi="黑体" w:eastAsia="黑体" w:cs="黑体"/>
        </w:rPr>
        <w:t>基本情况</w:t>
      </w:r>
      <w:bookmarkEnd w:id="581"/>
      <w:bookmarkEnd w:id="582"/>
      <w:bookmarkEnd w:id="583"/>
      <w:bookmarkEnd w:id="584"/>
      <w:bookmarkEnd w:id="585"/>
      <w:bookmarkEnd w:id="586"/>
      <w:bookmarkEnd w:id="587"/>
      <w:bookmarkEnd w:id="588"/>
      <w:bookmarkEnd w:id="589"/>
    </w:p>
    <w:p w14:paraId="5D247D74">
      <w:pPr>
        <w:widowControl/>
        <w:spacing w:before="0" w:beforeLines="0"/>
        <w:ind w:firstLine="420"/>
        <w:jc w:val="left"/>
        <w:rPr>
          <w:rFonts w:hint="eastAsia"/>
        </w:rPr>
      </w:pPr>
      <w:r>
        <w:rPr>
          <w:rFonts w:hint="eastAsia" w:cs="宋体"/>
          <w:color w:val="000000"/>
          <w:kern w:val="0"/>
          <w:szCs w:val="21"/>
          <w:lang w:bidi="ar"/>
        </w:rPr>
        <w:t>阐述国土空间生态修复规划的定位、目标与任务布局，说明评估区域的自然地理与生态本底特征、主要生态问题；明确评估目的、指标体系、数据来源、技术流程与评估周期等基本要素。</w:t>
      </w:r>
    </w:p>
    <w:p w14:paraId="28D13838">
      <w:pPr>
        <w:pStyle w:val="63"/>
        <w:spacing w:before="312" w:beforeLines="100" w:after="312" w:afterLines="100"/>
        <w:outlineLvl w:val="1"/>
        <w:rPr>
          <w:rFonts w:hint="eastAsia" w:ascii="黑体" w:hAnsi="黑体" w:eastAsia="黑体" w:cs="黑体"/>
        </w:rPr>
      </w:pPr>
      <w:bookmarkStart w:id="590" w:name="_Toc27400"/>
      <w:bookmarkStart w:id="591" w:name="_Toc22893"/>
      <w:bookmarkStart w:id="592" w:name="_Toc16454"/>
      <w:bookmarkStart w:id="593" w:name="_Toc18554"/>
      <w:bookmarkStart w:id="594" w:name="_Toc32056"/>
      <w:bookmarkStart w:id="595" w:name="_Toc6538"/>
      <w:bookmarkStart w:id="596" w:name="_Toc30816"/>
      <w:bookmarkStart w:id="597" w:name="_Toc5215"/>
      <w:bookmarkStart w:id="598" w:name="_Toc16679"/>
      <w:r>
        <w:rPr>
          <w:rFonts w:hint="eastAsia" w:ascii="黑体" w:hAnsi="黑体" w:eastAsia="黑体" w:cs="黑体"/>
        </w:rPr>
        <w:t>评估指标及技术方法</w:t>
      </w:r>
      <w:bookmarkEnd w:id="590"/>
      <w:bookmarkEnd w:id="591"/>
      <w:bookmarkEnd w:id="592"/>
      <w:bookmarkEnd w:id="593"/>
      <w:bookmarkEnd w:id="594"/>
      <w:bookmarkEnd w:id="595"/>
      <w:bookmarkEnd w:id="596"/>
      <w:bookmarkEnd w:id="597"/>
      <w:bookmarkEnd w:id="598"/>
    </w:p>
    <w:p w14:paraId="38D333C0">
      <w:pPr>
        <w:spacing w:before="0" w:beforeLines="0"/>
        <w:ind w:firstLine="420"/>
        <w:rPr>
          <w:rFonts w:hint="eastAsia"/>
        </w:rPr>
      </w:pPr>
      <w:r>
        <w:rPr>
          <w:rFonts w:hint="eastAsia"/>
        </w:rPr>
        <w:t>说明评估指标体系的构建原则与结构，列明一级、二级与三级指标；阐述指标的量化方法、数据来源及评估所采用的主要技术路径，包括比值法、差值法等具体评估方法。</w:t>
      </w:r>
    </w:p>
    <w:p w14:paraId="193054D9">
      <w:pPr>
        <w:pStyle w:val="63"/>
        <w:spacing w:before="312" w:beforeLines="100" w:after="312" w:afterLines="100"/>
        <w:outlineLvl w:val="1"/>
        <w:rPr>
          <w:rFonts w:hint="eastAsia" w:ascii="黑体" w:hAnsi="黑体" w:eastAsia="黑体" w:cs="黑体"/>
        </w:rPr>
      </w:pPr>
      <w:bookmarkStart w:id="599" w:name="_Toc15758"/>
      <w:bookmarkStart w:id="600" w:name="_Toc32407"/>
      <w:bookmarkStart w:id="601" w:name="_Toc21245"/>
      <w:bookmarkStart w:id="602" w:name="_Toc15453"/>
      <w:bookmarkStart w:id="603" w:name="_Toc27633"/>
      <w:bookmarkStart w:id="604" w:name="_Toc27273"/>
      <w:bookmarkStart w:id="605" w:name="_Toc23580"/>
      <w:bookmarkStart w:id="606" w:name="_Toc32152"/>
      <w:bookmarkStart w:id="607" w:name="_Toc27465"/>
      <w:r>
        <w:rPr>
          <w:rFonts w:hint="eastAsia" w:ascii="黑体" w:hAnsi="黑体" w:eastAsia="黑体" w:cs="黑体"/>
        </w:rPr>
        <w:t>规划目标实施效果</w:t>
      </w:r>
      <w:bookmarkEnd w:id="599"/>
      <w:bookmarkEnd w:id="600"/>
      <w:bookmarkEnd w:id="601"/>
      <w:bookmarkEnd w:id="602"/>
      <w:bookmarkEnd w:id="603"/>
      <w:bookmarkEnd w:id="604"/>
      <w:bookmarkEnd w:id="605"/>
      <w:bookmarkEnd w:id="606"/>
      <w:bookmarkEnd w:id="607"/>
    </w:p>
    <w:p w14:paraId="010A97A8">
      <w:pPr>
        <w:spacing w:before="0" w:beforeLines="0"/>
        <w:ind w:firstLine="420"/>
        <w:rPr>
          <w:rFonts w:hint="eastAsia"/>
        </w:rPr>
      </w:pPr>
      <w:r>
        <w:rPr>
          <w:rFonts w:hint="eastAsia"/>
        </w:rPr>
        <w:t>规划目标分为生态质量类、生态保护类和生态修复类，首先分析规划</w:t>
      </w:r>
      <w:r>
        <w:t>目标类指标完成率，判定规划整体执行进度。</w:t>
      </w:r>
      <w:r>
        <w:rPr>
          <w:rFonts w:hint="eastAsia"/>
        </w:rPr>
        <w:t>其次，通过评估期与评估基期的指标值变化率，评估生态保护类指标的规划实施效果。通过指标完成量与规划目标量的比率，评估生态修复类指标规划完成情况。</w:t>
      </w:r>
    </w:p>
    <w:p w14:paraId="0CB89BBC">
      <w:pPr>
        <w:pStyle w:val="63"/>
        <w:spacing w:before="312" w:beforeLines="100" w:after="312" w:afterLines="100"/>
        <w:outlineLvl w:val="1"/>
        <w:rPr>
          <w:rFonts w:hint="eastAsia" w:ascii="黑体" w:hAnsi="黑体" w:eastAsia="黑体" w:cs="黑体"/>
        </w:rPr>
      </w:pPr>
      <w:bookmarkStart w:id="608" w:name="_Toc25409"/>
      <w:bookmarkStart w:id="609" w:name="_Toc27780"/>
      <w:bookmarkStart w:id="610" w:name="_Toc30267"/>
      <w:bookmarkStart w:id="611" w:name="_Toc5644"/>
      <w:bookmarkStart w:id="612" w:name="_Toc30967"/>
      <w:bookmarkStart w:id="613" w:name="_Toc19999"/>
      <w:bookmarkStart w:id="614" w:name="_Toc13605"/>
      <w:bookmarkStart w:id="615" w:name="_Toc24100"/>
      <w:bookmarkStart w:id="616" w:name="_Toc8486"/>
      <w:r>
        <w:rPr>
          <w:rFonts w:hint="eastAsia" w:ascii="黑体" w:hAnsi="黑体" w:eastAsia="黑体" w:cs="黑体"/>
        </w:rPr>
        <w:t>生态效果</w:t>
      </w:r>
      <w:bookmarkEnd w:id="608"/>
      <w:bookmarkEnd w:id="609"/>
      <w:bookmarkEnd w:id="610"/>
      <w:bookmarkEnd w:id="611"/>
      <w:bookmarkEnd w:id="612"/>
      <w:bookmarkEnd w:id="613"/>
      <w:bookmarkEnd w:id="614"/>
      <w:bookmarkEnd w:id="615"/>
      <w:bookmarkEnd w:id="616"/>
    </w:p>
    <w:p w14:paraId="420A3742">
      <w:pPr>
        <w:spacing w:before="0" w:beforeLines="0"/>
        <w:ind w:firstLine="420"/>
        <w:rPr>
          <w:rFonts w:hint="eastAsia"/>
        </w:rPr>
      </w:pPr>
      <w:r>
        <w:rPr>
          <w:rFonts w:hint="eastAsia"/>
        </w:rPr>
        <w:t>生态效果评估涉及的指标分为生态系统服务类指标和景观格局类指标，通过量化计算水源涵养服务、洪水调蓄服务、景观多样性等指标数据，并与基期年相比较，评估每项指标规划实施的进度完成情况和完成效果，根据变化趋势及其与基期年的比值确定其完成率，</w:t>
      </w:r>
      <w:r>
        <w:t>评估修复工程对生态系统</w:t>
      </w:r>
      <w:r>
        <w:rPr>
          <w:rFonts w:hint="eastAsia"/>
        </w:rPr>
        <w:t>服务和景观格局变化</w:t>
      </w:r>
      <w:r>
        <w:t>的贡献</w:t>
      </w:r>
      <w:r>
        <w:rPr>
          <w:rFonts w:hint="eastAsia"/>
        </w:rPr>
        <w:t>。</w:t>
      </w:r>
    </w:p>
    <w:p w14:paraId="14D7A345">
      <w:pPr>
        <w:pStyle w:val="63"/>
        <w:spacing w:before="312" w:beforeLines="100" w:after="312" w:afterLines="100"/>
        <w:outlineLvl w:val="1"/>
        <w:rPr>
          <w:rFonts w:hint="eastAsia" w:ascii="黑体" w:hAnsi="黑体" w:eastAsia="黑体" w:cs="黑体"/>
        </w:rPr>
      </w:pPr>
      <w:bookmarkStart w:id="617" w:name="_Toc5394"/>
      <w:bookmarkStart w:id="618" w:name="_Toc23568"/>
      <w:bookmarkStart w:id="619" w:name="_Toc1745"/>
      <w:bookmarkStart w:id="620" w:name="_Toc27213"/>
      <w:bookmarkStart w:id="621" w:name="_Toc14386"/>
      <w:bookmarkStart w:id="622" w:name="_Toc8234"/>
      <w:bookmarkStart w:id="623" w:name="_Toc15040"/>
      <w:bookmarkStart w:id="624" w:name="_Toc13314"/>
      <w:bookmarkStart w:id="625" w:name="_Toc12997"/>
      <w:r>
        <w:rPr>
          <w:rFonts w:hint="eastAsia" w:ascii="黑体" w:hAnsi="黑体" w:eastAsia="黑体" w:cs="黑体"/>
        </w:rPr>
        <w:t>经济社会效果</w:t>
      </w:r>
      <w:bookmarkEnd w:id="617"/>
      <w:bookmarkEnd w:id="618"/>
      <w:bookmarkEnd w:id="619"/>
      <w:bookmarkEnd w:id="620"/>
      <w:bookmarkEnd w:id="621"/>
      <w:bookmarkEnd w:id="622"/>
      <w:bookmarkEnd w:id="623"/>
      <w:bookmarkEnd w:id="624"/>
      <w:bookmarkEnd w:id="625"/>
    </w:p>
    <w:p w14:paraId="5D28DE48">
      <w:pPr>
        <w:spacing w:before="0" w:beforeLines="0"/>
        <w:ind w:firstLine="420"/>
        <w:rPr>
          <w:rFonts w:hint="eastAsia"/>
        </w:rPr>
      </w:pPr>
      <w:r>
        <w:rPr>
          <w:rFonts w:hint="eastAsia"/>
        </w:rPr>
        <w:t>经济社会效果类指标主要涉及本地居民满意度、技术研发与成果转化等社会效果类指标和生态产业产值、社会资本参与度等经济效果类指标。根据指标量化结果，综合描述规划实施产生的经济社会</w:t>
      </w:r>
      <w:r>
        <w:rPr>
          <w:rFonts w:hint="eastAsia"/>
          <w:lang w:val="en-US" w:eastAsia="zh-CN"/>
        </w:rPr>
        <w:t>效果</w:t>
      </w:r>
      <w:r>
        <w:t>。</w:t>
      </w:r>
    </w:p>
    <w:p w14:paraId="5570AB36">
      <w:pPr>
        <w:pStyle w:val="63"/>
        <w:spacing w:before="312" w:beforeLines="100" w:after="312" w:afterLines="100"/>
        <w:outlineLvl w:val="1"/>
        <w:rPr>
          <w:rFonts w:hint="eastAsia" w:ascii="黑体" w:hAnsi="黑体" w:eastAsia="黑体" w:cs="黑体"/>
        </w:rPr>
      </w:pPr>
      <w:bookmarkStart w:id="626" w:name="_Toc23192"/>
      <w:bookmarkStart w:id="627" w:name="_Toc11635"/>
      <w:bookmarkStart w:id="628" w:name="_Toc7449"/>
      <w:bookmarkStart w:id="629" w:name="_Toc6665"/>
      <w:bookmarkStart w:id="630" w:name="_Toc7413"/>
      <w:bookmarkStart w:id="631" w:name="_Toc20426"/>
      <w:bookmarkStart w:id="632" w:name="_Toc20207"/>
      <w:bookmarkStart w:id="633" w:name="_Toc3567"/>
      <w:bookmarkStart w:id="634" w:name="_Toc23117"/>
      <w:r>
        <w:rPr>
          <w:rFonts w:hint="eastAsia" w:ascii="黑体" w:hAnsi="黑体" w:eastAsia="黑体" w:cs="黑体"/>
        </w:rPr>
        <w:t>综合效果评估</w:t>
      </w:r>
      <w:bookmarkEnd w:id="626"/>
      <w:bookmarkEnd w:id="627"/>
      <w:bookmarkEnd w:id="628"/>
      <w:bookmarkEnd w:id="629"/>
      <w:bookmarkEnd w:id="630"/>
      <w:bookmarkEnd w:id="631"/>
      <w:bookmarkEnd w:id="632"/>
      <w:bookmarkEnd w:id="633"/>
      <w:bookmarkEnd w:id="634"/>
    </w:p>
    <w:p w14:paraId="238735E5">
      <w:pPr>
        <w:widowControl/>
        <w:spacing w:before="0" w:beforeLines="0"/>
        <w:ind w:firstLine="420"/>
        <w:jc w:val="left"/>
        <w:rPr>
          <w:rFonts w:hint="eastAsia"/>
        </w:rPr>
      </w:pPr>
      <w:r>
        <w:rPr>
          <w:rFonts w:hint="eastAsia" w:cs="宋体"/>
          <w:color w:val="000000"/>
          <w:kern w:val="0"/>
          <w:szCs w:val="21"/>
          <w:lang w:bidi="ar"/>
        </w:rPr>
        <w:t>依据评估结果分级方法，评估国土空间生态修复规划实施后期产生的规划目标实施情况、生态</w:t>
      </w:r>
      <w:r>
        <w:rPr>
          <w:rFonts w:hint="eastAsia" w:cs="宋体"/>
          <w:color w:val="000000"/>
          <w:kern w:val="0"/>
          <w:szCs w:val="21"/>
          <w:lang w:val="en-US" w:eastAsia="zh-CN" w:bidi="ar"/>
        </w:rPr>
        <w:t>效果</w:t>
      </w:r>
      <w:r>
        <w:rPr>
          <w:rFonts w:hint="eastAsia" w:cs="宋体"/>
          <w:color w:val="000000"/>
          <w:kern w:val="0"/>
          <w:szCs w:val="21"/>
          <w:lang w:bidi="ar"/>
        </w:rPr>
        <w:t>、经济社会综合效果，并对</w:t>
      </w:r>
      <w:r>
        <w:rPr>
          <w:rFonts w:hint="eastAsia"/>
        </w:rPr>
        <w:t>规划区、生态修复区及重大工程区评估效果进行对比分析</w:t>
      </w:r>
      <w:r>
        <w:rPr>
          <w:rFonts w:hint="eastAsia" w:cs="宋体"/>
          <w:color w:val="000000"/>
          <w:kern w:val="0"/>
          <w:szCs w:val="21"/>
          <w:lang w:bidi="ar"/>
        </w:rPr>
        <w:t>。</w:t>
      </w:r>
    </w:p>
    <w:p w14:paraId="73A38567">
      <w:pPr>
        <w:pStyle w:val="63"/>
        <w:spacing w:before="312" w:beforeLines="100" w:after="312" w:afterLines="100"/>
        <w:outlineLvl w:val="1"/>
        <w:rPr>
          <w:rFonts w:hint="eastAsia" w:ascii="黑体" w:hAnsi="黑体" w:eastAsia="黑体" w:cs="黑体"/>
        </w:rPr>
      </w:pPr>
      <w:bookmarkStart w:id="635" w:name="_Toc30730"/>
      <w:bookmarkStart w:id="636" w:name="_Toc13059"/>
      <w:bookmarkStart w:id="637" w:name="_Toc19604"/>
      <w:bookmarkStart w:id="638" w:name="_Toc12657"/>
      <w:bookmarkStart w:id="639" w:name="_Toc25393"/>
      <w:bookmarkStart w:id="640" w:name="_Toc6679"/>
      <w:bookmarkStart w:id="641" w:name="_Toc13925"/>
      <w:bookmarkStart w:id="642" w:name="_Toc11259"/>
      <w:bookmarkStart w:id="643" w:name="_Toc18950"/>
      <w:r>
        <w:rPr>
          <w:rFonts w:hint="eastAsia" w:ascii="黑体" w:hAnsi="黑体" w:eastAsia="黑体" w:cs="黑体"/>
        </w:rPr>
        <w:t>结论与建议</w:t>
      </w:r>
      <w:bookmarkEnd w:id="635"/>
      <w:bookmarkEnd w:id="636"/>
      <w:bookmarkEnd w:id="637"/>
      <w:bookmarkEnd w:id="638"/>
      <w:bookmarkEnd w:id="639"/>
      <w:bookmarkEnd w:id="640"/>
      <w:bookmarkEnd w:id="641"/>
      <w:bookmarkEnd w:id="642"/>
      <w:bookmarkEnd w:id="643"/>
    </w:p>
    <w:p w14:paraId="096E6BC4">
      <w:pPr>
        <w:widowControl/>
        <w:spacing w:before="0" w:beforeLines="0"/>
        <w:ind w:firstLine="420"/>
        <w:jc w:val="left"/>
        <w:rPr>
          <w:rFonts w:hint="eastAsia" w:cs="宋体"/>
          <w:color w:val="000000"/>
          <w:kern w:val="0"/>
          <w:szCs w:val="21"/>
          <w:lang w:bidi="ar"/>
        </w:rPr>
      </w:pPr>
      <w:r>
        <w:rPr>
          <w:rFonts w:hint="eastAsia" w:cs="宋体"/>
          <w:color w:val="000000"/>
          <w:kern w:val="0"/>
          <w:szCs w:val="21"/>
          <w:lang w:bidi="ar"/>
        </w:rPr>
        <w:t>总结规划实施后期评估的总体结论与实施成效；系统梳理现阶段存在的主要问题与制约因素，提出针对性的对策措施；明确下一阶段规划实施的重点任务与配套政策保障建议。</w:t>
      </w:r>
    </w:p>
    <w:p w14:paraId="7E552504">
      <w:pPr>
        <w:pStyle w:val="63"/>
        <w:spacing w:before="312" w:beforeLines="100" w:after="312" w:afterLines="100"/>
        <w:outlineLvl w:val="1"/>
        <w:rPr>
          <w:rFonts w:hint="eastAsia" w:ascii="黑体" w:hAnsi="黑体" w:eastAsia="黑体" w:cs="黑体"/>
        </w:rPr>
      </w:pPr>
      <w:bookmarkStart w:id="644" w:name="_Toc9879"/>
      <w:bookmarkStart w:id="645" w:name="_Toc21420"/>
      <w:bookmarkStart w:id="646" w:name="_Toc25145"/>
      <w:bookmarkStart w:id="647" w:name="_Toc21159"/>
      <w:bookmarkStart w:id="648" w:name="_Toc8163"/>
      <w:bookmarkStart w:id="649" w:name="_Toc29448"/>
      <w:bookmarkStart w:id="650" w:name="_Toc17129"/>
      <w:bookmarkStart w:id="651" w:name="_Toc26430"/>
      <w:bookmarkStart w:id="652" w:name="_Toc22650"/>
      <w:r>
        <w:rPr>
          <w:rFonts w:hint="eastAsia" w:ascii="黑体" w:hAnsi="黑体" w:eastAsia="黑体" w:cs="黑体"/>
        </w:rPr>
        <w:t>附件</w:t>
      </w:r>
      <w:bookmarkEnd w:id="644"/>
      <w:bookmarkEnd w:id="645"/>
      <w:bookmarkEnd w:id="646"/>
      <w:bookmarkEnd w:id="647"/>
      <w:bookmarkEnd w:id="648"/>
      <w:bookmarkEnd w:id="649"/>
      <w:bookmarkEnd w:id="650"/>
      <w:bookmarkEnd w:id="651"/>
      <w:bookmarkEnd w:id="652"/>
    </w:p>
    <w:p w14:paraId="3069F06C">
      <w:pPr>
        <w:pStyle w:val="15"/>
        <w:widowControl/>
        <w:spacing w:beforeLines="0" w:beforeAutospacing="0" w:afterAutospacing="0"/>
        <w:ind w:firstLine="420"/>
        <w:rPr>
          <w:rFonts w:hint="eastAsia" w:cs="宋体"/>
          <w:kern w:val="2"/>
          <w:sz w:val="21"/>
          <w:szCs w:val="21"/>
        </w:rPr>
      </w:pPr>
      <w:r>
        <w:rPr>
          <w:rFonts w:hint="eastAsia" w:cs="宋体"/>
          <w:kern w:val="2"/>
          <w:sz w:val="21"/>
          <w:szCs w:val="21"/>
          <w:lang w:eastAsia="zh-CN"/>
        </w:rPr>
        <w:t>1.</w:t>
      </w:r>
      <w:r>
        <w:rPr>
          <w:rFonts w:hint="eastAsia" w:cs="宋体"/>
          <w:kern w:val="2"/>
          <w:sz w:val="21"/>
          <w:szCs w:val="21"/>
        </w:rPr>
        <w:t>数据表格</w:t>
      </w:r>
    </w:p>
    <w:p w14:paraId="272AB9D6">
      <w:pPr>
        <w:pStyle w:val="15"/>
        <w:widowControl/>
        <w:spacing w:beforeLines="0" w:beforeAutospacing="0" w:afterAutospacing="0"/>
        <w:ind w:firstLine="420"/>
        <w:rPr>
          <w:rFonts w:hint="eastAsia" w:cs="宋体"/>
          <w:kern w:val="2"/>
          <w:sz w:val="21"/>
          <w:szCs w:val="21"/>
        </w:rPr>
      </w:pPr>
      <w:r>
        <w:rPr>
          <w:rFonts w:hint="eastAsia" w:cs="宋体"/>
          <w:kern w:val="2"/>
          <w:sz w:val="21"/>
          <w:szCs w:val="21"/>
          <w:lang w:eastAsia="zh-CN"/>
        </w:rPr>
        <w:t>2.</w:t>
      </w:r>
      <w:r>
        <w:rPr>
          <w:rFonts w:hint="eastAsia" w:cs="宋体"/>
          <w:kern w:val="2"/>
          <w:sz w:val="21"/>
          <w:szCs w:val="21"/>
        </w:rPr>
        <w:t>图件</w:t>
      </w:r>
    </w:p>
    <w:p w14:paraId="3634AAAA">
      <w:pPr>
        <w:pStyle w:val="15"/>
        <w:widowControl/>
        <w:spacing w:beforeLines="0" w:beforeAutospacing="0" w:afterAutospacing="0"/>
        <w:ind w:firstLine="420"/>
        <w:rPr>
          <w:rFonts w:hint="eastAsia" w:cs="宋体"/>
          <w:kern w:val="2"/>
          <w:sz w:val="21"/>
          <w:szCs w:val="21"/>
        </w:rPr>
      </w:pPr>
      <w:r>
        <w:rPr>
          <w:rFonts w:hint="eastAsia" w:cs="宋体"/>
          <w:kern w:val="2"/>
          <w:sz w:val="21"/>
          <w:szCs w:val="21"/>
          <w:lang w:eastAsia="zh-CN"/>
        </w:rPr>
        <w:t>3.</w:t>
      </w:r>
      <w:r>
        <w:rPr>
          <w:rFonts w:hint="eastAsia" w:cs="宋体"/>
          <w:kern w:val="2"/>
          <w:sz w:val="21"/>
          <w:szCs w:val="21"/>
        </w:rPr>
        <w:t>数据集</w:t>
      </w:r>
    </w:p>
    <w:p w14:paraId="2BEBBCB7">
      <w:pPr>
        <w:pStyle w:val="15"/>
        <w:widowControl/>
        <w:spacing w:beforeLines="0" w:beforeAutospacing="0" w:afterAutospacing="0"/>
        <w:ind w:firstLine="420"/>
        <w:rPr>
          <w:rFonts w:hint="eastAsia" w:cs="宋体"/>
          <w:kern w:val="2"/>
          <w:sz w:val="21"/>
          <w:szCs w:val="21"/>
        </w:rPr>
      </w:pPr>
      <w:r>
        <w:rPr>
          <w:rFonts w:hint="eastAsia" w:cs="宋体"/>
          <w:kern w:val="2"/>
          <w:sz w:val="21"/>
          <w:szCs w:val="21"/>
          <w:lang w:eastAsia="zh-CN"/>
        </w:rPr>
        <w:t>4.</w:t>
      </w:r>
      <w:r>
        <w:rPr>
          <w:rFonts w:hint="eastAsia" w:cs="宋体"/>
          <w:kern w:val="2"/>
          <w:sz w:val="21"/>
          <w:szCs w:val="21"/>
        </w:rPr>
        <w:t>其他附件</w:t>
      </w:r>
    </w:p>
    <w:p w14:paraId="630E67D9">
      <w:pPr>
        <w:pStyle w:val="15"/>
        <w:widowControl/>
        <w:spacing w:before="156"/>
        <w:ind w:firstLine="0" w:firstLineChars="0"/>
        <w:rPr>
          <w:rFonts w:hint="eastAsia"/>
          <w:u w:val="single"/>
        </w:rPr>
      </w:pPr>
      <w:r>
        <w:rPr>
          <w:rFonts w:hint="eastAsia"/>
        </w:rPr>
        <w:t xml:space="preserve">            </w:t>
      </w:r>
    </w:p>
    <w:p w14:paraId="31A87D9C">
      <w:pPr>
        <w:spacing w:before="156"/>
        <w:ind w:firstLine="420"/>
        <w:rPr>
          <w:rFonts w:hint="eastAsia"/>
          <w:u w:val="single"/>
        </w:rPr>
      </w:pPr>
      <w:r>
        <w:rPr>
          <w:rFonts w:hint="eastAsia"/>
          <w:u w:val="single"/>
        </w:rPr>
        <w:br w:type="page"/>
      </w:r>
    </w:p>
    <w:p w14:paraId="0AB52B3D">
      <w:pPr>
        <w:pStyle w:val="55"/>
        <w:spacing w:beforeLines="0"/>
        <w:ind w:firstLine="0" w:firstLineChars="0"/>
        <w:rPr>
          <w:rFonts w:hint="eastAsia"/>
        </w:rPr>
      </w:pPr>
      <w:bookmarkStart w:id="653" w:name="_Toc450293168"/>
      <w:bookmarkStart w:id="654" w:name="BKCKWX"/>
      <w:r>
        <w:rPr>
          <w:rFonts w:hint="eastAsia"/>
        </w:rPr>
        <w:t>参</w:t>
      </w:r>
      <w:r>
        <w:rPr>
          <w:rFonts w:hAnsi="黑体"/>
        </w:rPr>
        <w:t> </w:t>
      </w:r>
      <w:r>
        <w:rPr>
          <w:rFonts w:hint="eastAsia"/>
        </w:rPr>
        <w:t>考</w:t>
      </w:r>
      <w:r>
        <w:rPr>
          <w:rFonts w:hAnsi="黑体"/>
        </w:rPr>
        <w:t> </w:t>
      </w:r>
      <w:r>
        <w:rPr>
          <w:rFonts w:hint="eastAsia"/>
        </w:rPr>
        <w:t>文</w:t>
      </w:r>
      <w:r>
        <w:rPr>
          <w:rFonts w:hAnsi="黑体"/>
        </w:rPr>
        <w:t> </w:t>
      </w:r>
      <w:r>
        <w:rPr>
          <w:rFonts w:hint="eastAsia"/>
        </w:rPr>
        <w:t>献</w:t>
      </w:r>
      <w:bookmarkEnd w:id="653"/>
      <w:bookmarkEnd w:id="654"/>
    </w:p>
    <w:p w14:paraId="68507867">
      <w:pPr>
        <w:pStyle w:val="50"/>
        <w:rPr>
          <w:rFonts w:hint="eastAsia"/>
        </w:rPr>
      </w:pPr>
      <w:r>
        <w:rPr>
          <w:rFonts w:hint="eastAsia"/>
        </w:rPr>
        <w:t>GB/T 43214    省级国土空间规划编制技术规程</w:t>
      </w:r>
    </w:p>
    <w:p w14:paraId="02D9B987">
      <w:pPr>
        <w:pStyle w:val="50"/>
        <w:rPr>
          <w:rFonts w:hint="eastAsia"/>
        </w:rPr>
      </w:pPr>
      <w:r>
        <w:rPr>
          <w:rFonts w:hint="eastAsia"/>
        </w:rPr>
        <w:t>HJ 192        生态环境状况评价技术规范</w:t>
      </w:r>
    </w:p>
    <w:p w14:paraId="33A2D9C9">
      <w:pPr>
        <w:pStyle w:val="50"/>
        <w:rPr>
          <w:rFonts w:hint="eastAsia"/>
        </w:rPr>
      </w:pPr>
      <w:r>
        <w:rPr>
          <w:rFonts w:hint="eastAsia"/>
        </w:rPr>
        <w:t>HJ 1171       全国生态状况调查评估技术规范——生态系统格局评估</w:t>
      </w:r>
    </w:p>
    <w:p w14:paraId="19535D5A">
      <w:pPr>
        <w:pStyle w:val="50"/>
        <w:rPr>
          <w:rFonts w:hint="eastAsia"/>
        </w:rPr>
      </w:pPr>
      <w:r>
        <w:rPr>
          <w:rFonts w:hint="eastAsia" w:ascii="宋体" w:hAnsi="Times New Roman" w:cs="Times New Roman"/>
          <w:highlight w:val="none"/>
        </w:rPr>
        <w:t>HJ 1172       全国生态状况调查评估技术规范——生态系统质量评估</w:t>
      </w:r>
    </w:p>
    <w:p w14:paraId="4E97F9D5">
      <w:pPr>
        <w:pStyle w:val="50"/>
        <w:rPr>
          <w:rFonts w:hint="eastAsia"/>
        </w:rPr>
      </w:pPr>
      <w:r>
        <w:rPr>
          <w:rFonts w:hint="eastAsia"/>
        </w:rPr>
        <w:t>HJ 1173       全国生态状况调查评估技术规范——生态系统服务功能评估</w:t>
      </w:r>
    </w:p>
    <w:p w14:paraId="6ED3495B">
      <w:pPr>
        <w:pStyle w:val="50"/>
        <w:rPr>
          <w:rFonts w:hint="eastAsia"/>
        </w:rPr>
      </w:pPr>
      <w:r>
        <w:rPr>
          <w:rFonts w:hint="eastAsia"/>
        </w:rPr>
        <w:t>HJ 1174       全国生态状况调查评估技术规范——生态问题评估</w:t>
      </w:r>
    </w:p>
    <w:p w14:paraId="7116D5BE">
      <w:pPr>
        <w:pStyle w:val="50"/>
        <w:rPr>
          <w:rFonts w:hint="eastAsia"/>
        </w:rPr>
      </w:pPr>
      <w:r>
        <w:rPr>
          <w:rFonts w:hint="eastAsia"/>
        </w:rPr>
        <w:t>TD/T 1055     第三次全国国土调查技术规程</w:t>
      </w:r>
    </w:p>
    <w:p w14:paraId="5F288EBC">
      <w:pPr>
        <w:pStyle w:val="50"/>
      </w:pPr>
      <w:r>
        <w:rPr>
          <w:rFonts w:hint="eastAsia"/>
        </w:rPr>
        <w:t>《生态保护修复工程实施生态环境成效评估技术指南（试行）》（环办标征函〔2022〕19号）</w:t>
      </w:r>
    </w:p>
    <w:p w14:paraId="773F2AE5">
      <w:pPr>
        <w:pStyle w:val="50"/>
      </w:pPr>
      <w:r>
        <w:rPr>
          <w:rFonts w:hint="eastAsia"/>
        </w:rPr>
        <w:t>《资源环境承载能力和国土空间开发适宜性评价指南（试行）》（自然资办函〔2020〕127号）</w:t>
      </w:r>
    </w:p>
    <w:p w14:paraId="14F752C1">
      <w:pPr>
        <w:pStyle w:val="50"/>
      </w:pPr>
      <w:r>
        <w:rPr>
          <w:rFonts w:hint="eastAsia"/>
        </w:rPr>
        <w:t>《省级国土空间生态修复规划编制指南（试行）》（自然资生态修复函〔2021〕11号）</w:t>
      </w:r>
    </w:p>
    <w:p w14:paraId="16A8021B">
      <w:pPr>
        <w:pStyle w:val="50"/>
      </w:pPr>
      <w:r>
        <w:rPr>
          <w:rFonts w:hint="eastAsia"/>
        </w:rPr>
        <w:t>《省级国土空间规划编制指南（试行）》（自然资办发〔2020〕5号）</w:t>
      </w:r>
    </w:p>
    <w:p w14:paraId="1646EC7D">
      <w:pPr>
        <w:pStyle w:val="50"/>
      </w:pPr>
      <w:r>
        <w:rPr>
          <w:rFonts w:hint="eastAsia"/>
        </w:rPr>
        <w:t>《市级国土空间总体规划编制指南》（自然资办发</w:t>
      </w:r>
      <w:r>
        <w:rPr>
          <w:rFonts w:hint="eastAsia"/>
          <w:lang w:eastAsia="zh-CN"/>
        </w:rPr>
        <w:t>〔2020〕46号</w:t>
      </w:r>
      <w:r>
        <w:rPr>
          <w:rFonts w:hint="eastAsia"/>
        </w:rPr>
        <w:t>）</w:t>
      </w:r>
    </w:p>
    <w:p w14:paraId="7E999A40">
      <w:pPr>
        <w:pStyle w:val="15"/>
        <w:widowControl/>
        <w:spacing w:before="156"/>
        <w:ind w:firstLine="0" w:firstLineChars="0"/>
        <w:rPr>
          <w:rFonts w:hint="eastAsia"/>
          <w:u w:val="single"/>
        </w:rPr>
      </w:pPr>
    </w:p>
    <w:p w14:paraId="77FA5016">
      <w:pPr>
        <w:pStyle w:val="15"/>
        <w:widowControl/>
        <w:spacing w:before="156"/>
        <w:ind w:firstLine="0" w:firstLineChars="0"/>
        <w:rPr>
          <w:rFonts w:hint="eastAsia"/>
        </w:rPr>
      </w:pPr>
      <w:r>
        <w:rPr>
          <w:rFonts w:hint="eastAsia"/>
        </w:rPr>
        <w:t xml:space="preserve">                          </w:t>
      </w:r>
      <w:r>
        <w:rPr>
          <w:rFonts w:hint="eastAsia"/>
          <w:u w:val="single"/>
        </w:rPr>
        <w:t xml:space="preserve">                          </w:t>
      </w:r>
      <w:r>
        <w:rPr>
          <w:rFonts w:hint="eastAsia"/>
        </w:rPr>
        <w:t xml:space="preserve">                                             </w:t>
      </w:r>
    </w:p>
    <w:p w14:paraId="2031D76C">
      <w:pPr>
        <w:pStyle w:val="15"/>
        <w:widowControl/>
        <w:spacing w:before="156"/>
        <w:ind w:firstLine="0" w:firstLineChars="0"/>
        <w:rPr>
          <w:rFonts w:hint="eastAsia"/>
        </w:rPr>
      </w:pPr>
      <w:r>
        <w:rPr>
          <w:rFonts w:hint="eastAsia"/>
        </w:rPr>
        <w:t xml:space="preserve">                                                                             </w:t>
      </w:r>
    </w:p>
    <w:p w14:paraId="6D938F10">
      <w:pPr>
        <w:pStyle w:val="15"/>
        <w:widowControl/>
        <w:spacing w:before="156"/>
        <w:ind w:firstLine="0" w:firstLineChars="0"/>
        <w:jc w:val="both"/>
        <w:rPr>
          <w:rFonts w:hint="eastAsia"/>
        </w:rPr>
      </w:pPr>
    </w:p>
    <w:p w14:paraId="17D5157E">
      <w:pPr>
        <w:pStyle w:val="15"/>
        <w:widowControl/>
        <w:spacing w:before="156"/>
        <w:ind w:firstLine="0" w:firstLineChars="0"/>
        <w:jc w:val="both"/>
        <w:rPr>
          <w:rFonts w:hint="eastAsia"/>
        </w:rPr>
      </w:pPr>
    </w:p>
    <w:p w14:paraId="0B7B4204">
      <w:pPr>
        <w:spacing w:before="156"/>
        <w:ind w:firstLine="420"/>
        <w:rPr>
          <w:rFonts w:hint="eastAsia"/>
        </w:rPr>
      </w:pPr>
    </w:p>
    <w:p w14:paraId="518870D5">
      <w:pPr>
        <w:spacing w:before="156"/>
        <w:ind w:firstLine="420"/>
        <w:rPr>
          <w:rFonts w:hint="eastAsia"/>
        </w:rPr>
      </w:pPr>
    </w:p>
    <w:p w14:paraId="64E9042A">
      <w:pPr>
        <w:spacing w:before="156"/>
        <w:ind w:firstLine="420"/>
        <w:rPr>
          <w:rFonts w:hint="eastAsia"/>
        </w:rPr>
      </w:pPr>
    </w:p>
    <w:p w14:paraId="46B1D636">
      <w:pPr>
        <w:spacing w:before="156"/>
        <w:ind w:firstLine="420"/>
        <w:rPr>
          <w:rFonts w:hint="eastAsia"/>
        </w:rPr>
      </w:pPr>
    </w:p>
    <w:p w14:paraId="51344781">
      <w:pPr>
        <w:spacing w:before="156"/>
        <w:ind w:firstLine="420"/>
        <w:rPr>
          <w:rFonts w:hint="eastAsia"/>
        </w:rPr>
      </w:pPr>
    </w:p>
    <w:p w14:paraId="534472BF">
      <w:pPr>
        <w:spacing w:before="156"/>
        <w:ind w:firstLine="420"/>
        <w:rPr>
          <w:rFonts w:hint="eastAsia"/>
        </w:rPr>
      </w:pPr>
    </w:p>
    <w:p w14:paraId="46E72BEF">
      <w:pPr>
        <w:spacing w:before="156"/>
        <w:ind w:firstLine="420"/>
        <w:rPr>
          <w:rFonts w:hint="eastAsia"/>
        </w:rPr>
      </w:pPr>
    </w:p>
    <w:p w14:paraId="5EC37646">
      <w:pPr>
        <w:spacing w:before="156"/>
        <w:ind w:firstLine="420"/>
        <w:rPr>
          <w:rFonts w:hint="eastAsia"/>
        </w:rPr>
      </w:pPr>
      <w:r>
        <w:rPr>
          <w:rFonts w:hint="eastAsia"/>
        </w:rPr>
        <w:br w:type="page"/>
      </w:r>
    </w:p>
    <w:p w14:paraId="00FA3E52">
      <w:pPr>
        <w:pStyle w:val="50"/>
      </w:pPr>
      <w:r>
        <w:rPr>
          <w:rFonts w:hint="eastAsia"/>
        </w:rPr>
        <w:t>各位专家、从业人员：</w:t>
      </w:r>
    </w:p>
    <w:p w14:paraId="028592D7">
      <w:pPr>
        <w:pStyle w:val="50"/>
      </w:pPr>
      <w:r>
        <w:rPr>
          <w:rFonts w:hint="eastAsia"/>
        </w:rPr>
        <w:t>《国土空间生态修复规划实施后期评估规范》（编号）</w:t>
      </w:r>
      <w:r>
        <w:rPr>
          <w:rFonts w:hint="eastAsia"/>
          <w:highlight w:val="yellow"/>
        </w:rPr>
        <w:t>于XXXX年X月X日发布</w:t>
      </w:r>
      <w:r>
        <w:rPr>
          <w:rFonts w:hint="eastAsia"/>
        </w:rPr>
        <w:t>。为进一步提高标准质量，提升标准的适用性，我们将在标准试行过程中继续征求意见。各位专家、从业人员在标准使用中，如发现存在不妥之处，请填写征求意见表，并通过邮件的方式发送给编制单位。</w:t>
      </w:r>
    </w:p>
    <w:p w14:paraId="19CE53C3">
      <w:pPr>
        <w:pStyle w:val="50"/>
        <w:ind w:firstLine="422"/>
        <w:rPr>
          <w:rFonts w:hint="eastAsia" w:ascii="黑体" w:hAnsi="黑体" w:eastAsia="黑体"/>
          <w:b/>
        </w:rPr>
      </w:pPr>
      <w:r>
        <w:rPr>
          <w:rFonts w:hint="eastAsia" w:ascii="黑体" w:hAnsi="黑体" w:eastAsia="黑体"/>
          <w:b/>
        </w:rPr>
        <w:t>联系方式</w:t>
      </w:r>
    </w:p>
    <w:p w14:paraId="4A22627C">
      <w:pPr>
        <w:pStyle w:val="50"/>
      </w:pPr>
      <w:r>
        <w:rPr>
          <w:rFonts w:hint="eastAsia"/>
        </w:rPr>
        <w:t>联系人：王娜</w:t>
      </w:r>
    </w:p>
    <w:p w14:paraId="5ADC901B">
      <w:pPr>
        <w:pStyle w:val="50"/>
      </w:pPr>
      <w:r>
        <w:rPr>
          <w:rFonts w:hint="eastAsia"/>
        </w:rPr>
        <w:t>电  话：13720037906</w:t>
      </w:r>
    </w:p>
    <w:p w14:paraId="556D104C">
      <w:pPr>
        <w:pStyle w:val="50"/>
      </w:pPr>
      <w:r>
        <w:rPr>
          <w:rFonts w:hint="eastAsia"/>
        </w:rPr>
        <w:t>邮  箱：353286864@qq.com</w:t>
      </w:r>
    </w:p>
    <w:p w14:paraId="780F3B22">
      <w:pPr>
        <w:pStyle w:val="50"/>
        <w:rPr>
          <w:highlight w:val="green"/>
        </w:rPr>
      </w:pPr>
    </w:p>
    <w:p w14:paraId="7A6C3246">
      <w:pPr>
        <w:pStyle w:val="50"/>
      </w:pPr>
    </w:p>
    <w:p w14:paraId="02E8EE07">
      <w:pPr>
        <w:pStyle w:val="50"/>
      </w:pPr>
    </w:p>
    <w:p w14:paraId="0084A080">
      <w:pPr>
        <w:pStyle w:val="50"/>
        <w:jc w:val="center"/>
      </w:pPr>
      <w:r>
        <w:rPr>
          <w:rFonts w:hint="eastAsia"/>
        </w:rPr>
        <w:t>征求意见表</w:t>
      </w:r>
    </w:p>
    <w:tbl>
      <w:tblPr>
        <w:tblStyle w:val="1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36"/>
        <w:gridCol w:w="2336"/>
        <w:gridCol w:w="2336"/>
        <w:gridCol w:w="2337"/>
      </w:tblGrid>
      <w:tr w14:paraId="4D35D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tcPr>
          <w:p w14:paraId="4F718012">
            <w:pPr>
              <w:pStyle w:val="50"/>
              <w:ind w:firstLine="0" w:firstLineChars="0"/>
              <w:jc w:val="center"/>
              <w:rPr>
                <w:szCs w:val="18"/>
              </w:rPr>
            </w:pPr>
            <w:r>
              <w:rPr>
                <w:rFonts w:hint="eastAsia"/>
                <w:szCs w:val="18"/>
              </w:rPr>
              <w:t>标准名称</w:t>
            </w:r>
          </w:p>
        </w:tc>
        <w:tc>
          <w:tcPr>
            <w:tcW w:w="7179" w:type="dxa"/>
            <w:gridSpan w:val="3"/>
          </w:tcPr>
          <w:p w14:paraId="4FB7F368">
            <w:pPr>
              <w:pStyle w:val="50"/>
              <w:ind w:firstLine="0" w:firstLineChars="0"/>
              <w:jc w:val="center"/>
              <w:rPr>
                <w:szCs w:val="18"/>
              </w:rPr>
            </w:pPr>
            <w:r>
              <w:rPr>
                <w:rFonts w:hint="eastAsia"/>
                <w:szCs w:val="18"/>
              </w:rPr>
              <w:t>国土空间生态修复规划实施后期评估规范</w:t>
            </w:r>
          </w:p>
        </w:tc>
      </w:tr>
      <w:tr w14:paraId="466BB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tcPr>
          <w:p w14:paraId="46BC9F0F">
            <w:pPr>
              <w:pStyle w:val="50"/>
              <w:ind w:firstLine="0" w:firstLineChars="0"/>
              <w:jc w:val="center"/>
              <w:rPr>
                <w:szCs w:val="18"/>
              </w:rPr>
            </w:pPr>
            <w:r>
              <w:rPr>
                <w:rFonts w:hint="eastAsia"/>
                <w:szCs w:val="18"/>
              </w:rPr>
              <w:t>专家姓名</w:t>
            </w:r>
          </w:p>
        </w:tc>
        <w:tc>
          <w:tcPr>
            <w:tcW w:w="2393" w:type="dxa"/>
          </w:tcPr>
          <w:p w14:paraId="59B2A795">
            <w:pPr>
              <w:pStyle w:val="50"/>
              <w:ind w:firstLine="0" w:firstLineChars="0"/>
              <w:jc w:val="center"/>
              <w:rPr>
                <w:szCs w:val="18"/>
              </w:rPr>
            </w:pPr>
          </w:p>
        </w:tc>
        <w:tc>
          <w:tcPr>
            <w:tcW w:w="2393" w:type="dxa"/>
          </w:tcPr>
          <w:p w14:paraId="04AB418A">
            <w:pPr>
              <w:pStyle w:val="50"/>
              <w:ind w:firstLine="0" w:firstLineChars="0"/>
              <w:jc w:val="center"/>
              <w:rPr>
                <w:szCs w:val="18"/>
              </w:rPr>
            </w:pPr>
            <w:r>
              <w:rPr>
                <w:rFonts w:hint="eastAsia"/>
                <w:szCs w:val="18"/>
              </w:rPr>
              <w:t>所在单位</w:t>
            </w:r>
          </w:p>
        </w:tc>
        <w:tc>
          <w:tcPr>
            <w:tcW w:w="2393" w:type="dxa"/>
          </w:tcPr>
          <w:p w14:paraId="7FAD575C">
            <w:pPr>
              <w:pStyle w:val="50"/>
              <w:ind w:firstLine="0" w:firstLineChars="0"/>
              <w:jc w:val="center"/>
              <w:rPr>
                <w:szCs w:val="18"/>
              </w:rPr>
            </w:pPr>
          </w:p>
        </w:tc>
      </w:tr>
      <w:tr w14:paraId="0190B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tcPr>
          <w:p w14:paraId="31B8E4AF">
            <w:pPr>
              <w:pStyle w:val="50"/>
              <w:ind w:firstLine="0" w:firstLineChars="0"/>
              <w:jc w:val="center"/>
              <w:rPr>
                <w:szCs w:val="18"/>
              </w:rPr>
            </w:pPr>
            <w:r>
              <w:rPr>
                <w:rFonts w:hint="eastAsia"/>
                <w:szCs w:val="18"/>
              </w:rPr>
              <w:t>职称/职务</w:t>
            </w:r>
          </w:p>
        </w:tc>
        <w:tc>
          <w:tcPr>
            <w:tcW w:w="2393" w:type="dxa"/>
          </w:tcPr>
          <w:p w14:paraId="72FA61B2">
            <w:pPr>
              <w:pStyle w:val="50"/>
              <w:ind w:firstLine="0" w:firstLineChars="0"/>
              <w:jc w:val="center"/>
              <w:rPr>
                <w:szCs w:val="18"/>
              </w:rPr>
            </w:pPr>
          </w:p>
        </w:tc>
        <w:tc>
          <w:tcPr>
            <w:tcW w:w="2393" w:type="dxa"/>
          </w:tcPr>
          <w:p w14:paraId="2528DEDD">
            <w:pPr>
              <w:pStyle w:val="50"/>
              <w:ind w:firstLine="0" w:firstLineChars="0"/>
              <w:jc w:val="center"/>
              <w:rPr>
                <w:szCs w:val="18"/>
              </w:rPr>
            </w:pPr>
            <w:r>
              <w:rPr>
                <w:rFonts w:hint="eastAsia"/>
                <w:szCs w:val="18"/>
              </w:rPr>
              <w:t>联系方式</w:t>
            </w:r>
          </w:p>
        </w:tc>
        <w:tc>
          <w:tcPr>
            <w:tcW w:w="2393" w:type="dxa"/>
          </w:tcPr>
          <w:p w14:paraId="4D8392FD">
            <w:pPr>
              <w:pStyle w:val="50"/>
              <w:ind w:firstLine="0" w:firstLineChars="0"/>
              <w:jc w:val="center"/>
              <w:rPr>
                <w:szCs w:val="18"/>
              </w:rPr>
            </w:pPr>
          </w:p>
        </w:tc>
      </w:tr>
      <w:tr w14:paraId="3DAE1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tcPr>
          <w:p w14:paraId="4B9078E8">
            <w:pPr>
              <w:pStyle w:val="50"/>
              <w:ind w:firstLine="0" w:firstLineChars="0"/>
              <w:jc w:val="center"/>
              <w:rPr>
                <w:szCs w:val="18"/>
              </w:rPr>
            </w:pPr>
            <w:r>
              <w:rPr>
                <w:rFonts w:hint="eastAsia"/>
                <w:szCs w:val="18"/>
              </w:rPr>
              <w:t>序号</w:t>
            </w:r>
          </w:p>
        </w:tc>
        <w:tc>
          <w:tcPr>
            <w:tcW w:w="2393" w:type="dxa"/>
          </w:tcPr>
          <w:p w14:paraId="322940D7">
            <w:pPr>
              <w:pStyle w:val="50"/>
              <w:ind w:firstLine="0" w:firstLineChars="0"/>
              <w:jc w:val="center"/>
              <w:rPr>
                <w:szCs w:val="18"/>
              </w:rPr>
            </w:pPr>
            <w:r>
              <w:rPr>
                <w:rFonts w:hint="eastAsia"/>
                <w:szCs w:val="18"/>
              </w:rPr>
              <w:t>章节</w:t>
            </w:r>
          </w:p>
        </w:tc>
        <w:tc>
          <w:tcPr>
            <w:tcW w:w="2393" w:type="dxa"/>
          </w:tcPr>
          <w:p w14:paraId="4B99EF12">
            <w:pPr>
              <w:pStyle w:val="50"/>
              <w:ind w:firstLine="0" w:firstLineChars="0"/>
              <w:jc w:val="center"/>
              <w:rPr>
                <w:szCs w:val="18"/>
              </w:rPr>
            </w:pPr>
            <w:r>
              <w:rPr>
                <w:rFonts w:hint="eastAsia"/>
                <w:szCs w:val="18"/>
              </w:rPr>
              <w:t>意见内容</w:t>
            </w:r>
          </w:p>
        </w:tc>
        <w:tc>
          <w:tcPr>
            <w:tcW w:w="2393" w:type="dxa"/>
          </w:tcPr>
          <w:p w14:paraId="7E431BE8">
            <w:pPr>
              <w:pStyle w:val="50"/>
              <w:ind w:firstLine="0" w:firstLineChars="0"/>
              <w:jc w:val="center"/>
              <w:rPr>
                <w:szCs w:val="18"/>
              </w:rPr>
            </w:pPr>
            <w:r>
              <w:rPr>
                <w:rFonts w:hint="eastAsia"/>
                <w:szCs w:val="18"/>
              </w:rPr>
              <w:t>修改建议</w:t>
            </w:r>
          </w:p>
        </w:tc>
      </w:tr>
      <w:tr w14:paraId="6299C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tcPr>
          <w:p w14:paraId="55361232">
            <w:pPr>
              <w:pStyle w:val="50"/>
              <w:ind w:firstLine="0" w:firstLineChars="0"/>
              <w:jc w:val="center"/>
              <w:rPr>
                <w:szCs w:val="18"/>
              </w:rPr>
            </w:pPr>
            <w:r>
              <w:rPr>
                <w:rFonts w:hint="eastAsia"/>
                <w:szCs w:val="18"/>
              </w:rPr>
              <w:t>1</w:t>
            </w:r>
          </w:p>
        </w:tc>
        <w:tc>
          <w:tcPr>
            <w:tcW w:w="2393" w:type="dxa"/>
          </w:tcPr>
          <w:p w14:paraId="2231E626">
            <w:pPr>
              <w:pStyle w:val="50"/>
              <w:ind w:firstLine="0" w:firstLineChars="0"/>
              <w:jc w:val="center"/>
              <w:rPr>
                <w:szCs w:val="18"/>
              </w:rPr>
            </w:pPr>
          </w:p>
        </w:tc>
        <w:tc>
          <w:tcPr>
            <w:tcW w:w="2393" w:type="dxa"/>
          </w:tcPr>
          <w:p w14:paraId="295979E5">
            <w:pPr>
              <w:pStyle w:val="50"/>
              <w:ind w:firstLine="0" w:firstLineChars="0"/>
              <w:jc w:val="center"/>
              <w:rPr>
                <w:szCs w:val="18"/>
              </w:rPr>
            </w:pPr>
          </w:p>
        </w:tc>
        <w:tc>
          <w:tcPr>
            <w:tcW w:w="2393" w:type="dxa"/>
          </w:tcPr>
          <w:p w14:paraId="29219900">
            <w:pPr>
              <w:pStyle w:val="50"/>
              <w:ind w:firstLine="0" w:firstLineChars="0"/>
              <w:jc w:val="center"/>
              <w:rPr>
                <w:szCs w:val="18"/>
              </w:rPr>
            </w:pPr>
          </w:p>
        </w:tc>
      </w:tr>
      <w:tr w14:paraId="0C94F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tcPr>
          <w:p w14:paraId="43EA1B2F">
            <w:pPr>
              <w:pStyle w:val="50"/>
              <w:ind w:firstLine="0" w:firstLineChars="0"/>
              <w:jc w:val="center"/>
              <w:rPr>
                <w:szCs w:val="18"/>
              </w:rPr>
            </w:pPr>
            <w:r>
              <w:rPr>
                <w:rFonts w:hint="eastAsia"/>
                <w:szCs w:val="18"/>
              </w:rPr>
              <w:t>2</w:t>
            </w:r>
          </w:p>
        </w:tc>
        <w:tc>
          <w:tcPr>
            <w:tcW w:w="2393" w:type="dxa"/>
          </w:tcPr>
          <w:p w14:paraId="403296F0">
            <w:pPr>
              <w:pStyle w:val="50"/>
              <w:ind w:firstLine="0" w:firstLineChars="0"/>
              <w:jc w:val="center"/>
              <w:rPr>
                <w:szCs w:val="18"/>
              </w:rPr>
            </w:pPr>
          </w:p>
        </w:tc>
        <w:tc>
          <w:tcPr>
            <w:tcW w:w="2393" w:type="dxa"/>
          </w:tcPr>
          <w:p w14:paraId="39262F5B">
            <w:pPr>
              <w:pStyle w:val="50"/>
              <w:ind w:firstLine="0" w:firstLineChars="0"/>
              <w:jc w:val="center"/>
              <w:rPr>
                <w:szCs w:val="18"/>
              </w:rPr>
            </w:pPr>
          </w:p>
        </w:tc>
        <w:tc>
          <w:tcPr>
            <w:tcW w:w="2393" w:type="dxa"/>
          </w:tcPr>
          <w:p w14:paraId="2208E7F9">
            <w:pPr>
              <w:pStyle w:val="50"/>
              <w:ind w:firstLine="0" w:firstLineChars="0"/>
              <w:jc w:val="center"/>
              <w:rPr>
                <w:szCs w:val="18"/>
              </w:rPr>
            </w:pPr>
          </w:p>
        </w:tc>
      </w:tr>
      <w:tr w14:paraId="3F00D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tcPr>
          <w:p w14:paraId="1C66D8CA">
            <w:pPr>
              <w:pStyle w:val="50"/>
              <w:ind w:firstLine="0" w:firstLineChars="0"/>
              <w:jc w:val="center"/>
              <w:rPr>
                <w:szCs w:val="18"/>
              </w:rPr>
            </w:pPr>
            <w:r>
              <w:rPr>
                <w:rFonts w:hint="eastAsia"/>
                <w:szCs w:val="18"/>
              </w:rPr>
              <w:t>…</w:t>
            </w:r>
          </w:p>
        </w:tc>
        <w:tc>
          <w:tcPr>
            <w:tcW w:w="2393" w:type="dxa"/>
          </w:tcPr>
          <w:p w14:paraId="48D69BCF">
            <w:pPr>
              <w:pStyle w:val="50"/>
              <w:ind w:firstLine="0" w:firstLineChars="0"/>
              <w:jc w:val="center"/>
              <w:rPr>
                <w:szCs w:val="18"/>
              </w:rPr>
            </w:pPr>
          </w:p>
        </w:tc>
        <w:tc>
          <w:tcPr>
            <w:tcW w:w="2393" w:type="dxa"/>
          </w:tcPr>
          <w:p w14:paraId="77DEE2D1">
            <w:pPr>
              <w:pStyle w:val="50"/>
              <w:ind w:firstLine="0" w:firstLineChars="0"/>
              <w:jc w:val="center"/>
              <w:rPr>
                <w:szCs w:val="18"/>
              </w:rPr>
            </w:pPr>
          </w:p>
        </w:tc>
        <w:tc>
          <w:tcPr>
            <w:tcW w:w="2393" w:type="dxa"/>
          </w:tcPr>
          <w:p w14:paraId="2E925D12">
            <w:pPr>
              <w:pStyle w:val="50"/>
              <w:ind w:firstLine="0" w:firstLineChars="0"/>
              <w:jc w:val="center"/>
              <w:rPr>
                <w:szCs w:val="18"/>
              </w:rPr>
            </w:pPr>
          </w:p>
        </w:tc>
      </w:tr>
    </w:tbl>
    <w:p w14:paraId="5E41ECF5">
      <w:pPr>
        <w:spacing w:before="156"/>
        <w:ind w:firstLine="420"/>
        <w:rPr>
          <w:rFonts w:hint="eastAsia"/>
        </w:rPr>
      </w:pPr>
    </w:p>
    <w:sectPr>
      <w:headerReference r:id="rId15" w:type="default"/>
      <w:headerReference r:id="rId16" w:type="even"/>
      <w:pgSz w:w="11906" w:h="16838"/>
      <w:pgMar w:top="567" w:right="1134" w:bottom="1134" w:left="1417"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DE3A1">
    <w:pPr>
      <w:pStyle w:val="11"/>
      <w:spacing w:before="120"/>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B3211">
    <w:pPr>
      <w:pStyle w:val="11"/>
      <w:spacing w:before="120"/>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5A536">
    <w:pPr>
      <w:pStyle w:val="11"/>
      <w:spacing w:before="120"/>
      <w:ind w:firstLine="360"/>
      <w:rPr>
        <w:rFonts w:hint="eastAsia"/>
      </w:rPr>
    </w:pPr>
    <w:r>
      <w:rPr>
        <w:rFonts w:hint="eastAsia"/>
      </w:rPr>
      <w:t>Ⅱ</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15881">
    <w:pPr>
      <w:tabs>
        <w:tab w:val="left" w:pos="8747"/>
        <w:tab w:val="right" w:pos="9474"/>
      </w:tabs>
      <w:spacing w:before="120" w:line="170" w:lineRule="auto"/>
      <w:ind w:firstLine="360"/>
      <w:jc w:val="left"/>
      <w:rPr>
        <w:rFonts w:hint="eastAsia"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3B250F">
                          <w:pPr>
                            <w:pStyle w:val="11"/>
                            <w:spacing w:before="120"/>
                            <w:ind w:firstLine="360"/>
                            <w:rPr>
                              <w:rFonts w:hint="eastAsia"/>
                            </w:rPr>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53B250F">
                    <w:pPr>
                      <w:pStyle w:val="11"/>
                      <w:spacing w:before="120"/>
                      <w:ind w:firstLine="360"/>
                      <w:rPr>
                        <w:rFonts w:hint="eastAsia"/>
                      </w:rPr>
                    </w:pPr>
                    <w:r>
                      <w:fldChar w:fldCharType="begin"/>
                    </w:r>
                    <w:r>
                      <w:instrText xml:space="preserve"> PAGE  \* MERGEFORMAT </w:instrText>
                    </w:r>
                    <w:r>
                      <w:fldChar w:fldCharType="separate"/>
                    </w:r>
                    <w:r>
                      <w:t>8</w:t>
                    </w:r>
                    <w:r>
                      <w:fldChar w:fldCharType="end"/>
                    </w:r>
                  </w:p>
                </w:txbxContent>
              </v:textbox>
            </v:shape>
          </w:pict>
        </mc:Fallback>
      </mc:AlternateContent>
    </w:r>
    <w:r>
      <w:rPr>
        <w:rFonts w:hint="eastAsia" w:cs="宋体"/>
        <w:b/>
        <w:bCs/>
        <w:spacing w:val="-10"/>
        <w:sz w:val="18"/>
        <w:szCs w:val="18"/>
      </w:rPr>
      <w:tab/>
    </w:r>
    <w:r>
      <w:rPr>
        <w:rFonts w:hint="eastAsia" w:cs="宋体"/>
        <w:b/>
        <w:bCs/>
        <w:spacing w:val="-10"/>
        <w:sz w:val="18"/>
        <w:szCs w:val="18"/>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FC136">
    <w:pPr>
      <w:pStyle w:val="11"/>
      <w:spacing w:before="120"/>
      <w:ind w:firstLine="360"/>
      <w:rPr>
        <w:rFonts w:hint="eastAsia"/>
      </w:rPr>
    </w:pPr>
    <w:r>
      <mc:AlternateContent>
        <mc:Choice Requires="wps">
          <w:drawing>
            <wp:anchor distT="0" distB="0" distL="114300" distR="114300" simplePos="0" relativeHeight="251663360" behindDoc="0" locked="0" layoutInCell="1" allowOverlap="1">
              <wp:simplePos x="0" y="0"/>
              <wp:positionH relativeFrom="margin">
                <wp:posOffset>17145</wp:posOffset>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C3A4E5">
                          <w:pPr>
                            <w:pStyle w:val="11"/>
                            <w:wordWrap/>
                            <w:spacing w:before="120"/>
                            <w:ind w:firstLine="360"/>
                            <w:rPr>
                              <w:rFonts w:hint="eastAsia"/>
                            </w:rPr>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35pt;margin-top:0pt;height:144pt;width:144pt;mso-position-horizontal-relative:margin;mso-wrap-style:none;z-index:251663360;mso-width-relative:page;mso-height-relative:page;" filled="f" stroked="f" coordsize="21600,21600" o:gfxdata="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a3NE0wAAAAYBAAAPAAAAAAAAAAEAIAAAACIAAABkcnMvZG93bnJldi54bWxQSwECFAAUAAAA&#10;CACHTuJAvQ7dtywCAABVBAAADgAAAAAAAAABACAAAAAiAQAAZHJzL2Uyb0RvYy54bWxQSwUGAAAA&#10;AAYABgBZAQAAwAUAAAAA&#10;">
              <v:fill on="f" focussize="0,0"/>
              <v:stroke on="f" weight="0.5pt"/>
              <v:imagedata o:title=""/>
              <o:lock v:ext="edit" aspectratio="f"/>
              <v:textbox inset="0mm,0mm,0mm,0mm" style="mso-fit-shape-to-text:t;">
                <w:txbxContent>
                  <w:p w14:paraId="7FC3A4E5">
                    <w:pPr>
                      <w:pStyle w:val="11"/>
                      <w:wordWrap/>
                      <w:spacing w:before="120"/>
                      <w:ind w:firstLine="360"/>
                      <w:rPr>
                        <w:rFonts w:hint="eastAsia"/>
                      </w:rPr>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firstLine="420"/>
      </w:pPr>
      <w:r>
        <w:separator/>
      </w:r>
    </w:p>
  </w:footnote>
  <w:footnote w:type="continuationSeparator" w:id="1">
    <w:p>
      <w:pPr>
        <w:spacing w:before="0" w:after="0"/>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A5D7A">
    <w:pPr>
      <w:pStyle w:val="12"/>
      <w:pBdr>
        <w:bottom w:val="none" w:color="auto" w:sz="0" w:space="1"/>
      </w:pBdr>
      <w:spacing w:before="120"/>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37BDC">
    <w:pPr>
      <w:spacing w:before="120"/>
      <w:ind w:firstLine="420"/>
      <w:jc w:val="right"/>
      <w:rPr>
        <w:rFonts w:hint="eastAsia"/>
      </w:rPr>
    </w:pPr>
    <w:r>
      <w:rPr>
        <w:rFonts w:hint="eastAsia" w:asciiTheme="minorEastAsia" w:hAnsiTheme="minorEastAsia" w:eastAsiaTheme="minorEastAsia" w:cstheme="minorEastAsia"/>
        <w:szCs w:val="21"/>
      </w:rPr>
      <w:t>T/CAGHP 002—2025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64428">
    <w:pPr>
      <w:spacing w:before="120"/>
      <w:ind w:firstLine="420"/>
      <w:jc w:val="left"/>
      <w:rPr>
        <w:rFonts w:hint="eastAsia"/>
      </w:rPr>
    </w:pPr>
    <w:r>
      <w:rPr>
        <w:rFonts w:hint="eastAsia" w:asciiTheme="minorEastAsia" w:hAnsiTheme="minorEastAsia" w:eastAsiaTheme="minorEastAsia" w:cstheme="minorEastAsia"/>
        <w:szCs w:val="21"/>
      </w:rPr>
      <w:t>T/CAGHP 002—2025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70BC6">
    <w:pPr>
      <w:spacing w:before="120"/>
      <w:ind w:firstLine="420"/>
      <w:jc w:val="right"/>
      <w:rPr>
        <w:rFonts w:hint="eastAsia"/>
      </w:rPr>
    </w:pPr>
    <w:r>
      <w:rPr>
        <w:rFonts w:hint="eastAsia" w:asciiTheme="minorEastAsia" w:hAnsiTheme="minorEastAsia" w:eastAsiaTheme="minorEastAsia" w:cstheme="minorEastAsia"/>
        <w:szCs w:val="21"/>
      </w:rPr>
      <w:t>T/CAGHPER XXX—XXXX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7FC84">
    <w:pPr>
      <w:spacing w:before="120"/>
      <w:ind w:firstLine="420"/>
      <w:jc w:val="left"/>
      <w:rPr>
        <w:rFonts w:hint="eastAsia"/>
      </w:rPr>
    </w:pPr>
    <w:r>
      <w:rPr>
        <w:rFonts w:hint="eastAsia" w:asciiTheme="minorEastAsia" w:hAnsiTheme="minorEastAsia" w:eastAsiaTheme="minorEastAsia" w:cstheme="minorEastAsia"/>
        <w:szCs w:val="21"/>
      </w:rPr>
      <w:t>T/CAGHPER XXX—XXXX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23818">
    <w:pPr>
      <w:spacing w:before="120"/>
      <w:ind w:firstLine="420"/>
      <w:jc w:val="right"/>
      <w:rPr>
        <w:rFonts w:hint="default" w:eastAsiaTheme="minorEastAsia"/>
        <w:lang w:val="en-US" w:eastAsia="zh-CN"/>
      </w:rPr>
    </w:pPr>
    <w:r>
      <w:rPr>
        <w:rFonts w:hint="eastAsia" w:asciiTheme="minorEastAsia" w:hAnsiTheme="minorEastAsia" w:eastAsiaTheme="minorEastAsia" w:cstheme="minorEastAsia"/>
        <w:szCs w:val="21"/>
      </w:rPr>
      <w:t xml:space="preserve">T/CAGHP </w:t>
    </w:r>
    <w:r>
      <w:rPr>
        <w:rFonts w:hint="eastAsia" w:asciiTheme="minorEastAsia" w:hAnsiTheme="minorEastAsia" w:eastAsiaTheme="minorEastAsia" w:cstheme="minorEastAsia"/>
        <w:szCs w:val="21"/>
        <w:lang w:val="en-US" w:eastAsia="zh-CN"/>
      </w:rPr>
      <w:t>XXX</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XXXX</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37EE8">
    <w:pPr>
      <w:spacing w:before="120"/>
      <w:ind w:firstLine="420"/>
      <w:jc w:val="left"/>
      <w:rPr>
        <w:rFonts w:hint="default" w:eastAsiaTheme="minorEastAsia"/>
        <w:lang w:val="en-US" w:eastAsia="zh-CN"/>
      </w:rPr>
    </w:pPr>
    <w:r>
      <w:rPr>
        <w:rFonts w:hint="eastAsia" w:asciiTheme="minorEastAsia" w:hAnsiTheme="minorEastAsia" w:eastAsiaTheme="minorEastAsia" w:cstheme="minorEastAsia"/>
        <w:szCs w:val="21"/>
      </w:rPr>
      <w:t xml:space="preserve">T/CAGHP </w:t>
    </w:r>
    <w:r>
      <w:rPr>
        <w:rFonts w:hint="eastAsia" w:asciiTheme="minorEastAsia" w:hAnsiTheme="minorEastAsia" w:eastAsiaTheme="minorEastAsia" w:cstheme="minorEastAsia"/>
        <w:szCs w:val="21"/>
        <w:lang w:val="en-US" w:eastAsia="zh-CN"/>
      </w:rPr>
      <w:t>XXX</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pStyle w:val="25"/>
      <w:suff w:val="space"/>
      <w:lvlText w:val="%1 "/>
      <w:lvlJc w:val="left"/>
      <w:rPr>
        <w:rFonts w:hint="default" w:ascii="黑体" w:hAnsi="黑体" w:eastAsia="黑体" w:cs="黑体"/>
        <w:snapToGrid w:val="0"/>
        <w:sz w:val="21"/>
        <w:szCs w:val="21"/>
      </w:rPr>
    </w:lvl>
    <w:lvl w:ilvl="1" w:tentative="0">
      <w:start w:val="1"/>
      <w:numFmt w:val="decimal"/>
      <w:suff w:val="space"/>
      <w:lvlText w:val="%1.%2 "/>
      <w:lvlJc w:val="left"/>
      <w:rPr>
        <w:rFonts w:hint="default" w:ascii="黑体" w:hAnsi="黑体" w:eastAsia="黑体" w:cs="黑体"/>
        <w:snapToGrid w:val="0"/>
        <w:sz w:val="21"/>
        <w:szCs w:val="21"/>
      </w:rPr>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DA2D011A"/>
    <w:multiLevelType w:val="multilevel"/>
    <w:tmpl w:val="DA2D011A"/>
    <w:lvl w:ilvl="0" w:tentative="0">
      <w:start w:val="1"/>
      <w:numFmt w:val="decimal"/>
      <w:pStyle w:val="5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7"/>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58"/>
      <w:suff w:val="nothing"/>
      <w:lvlText w:val="%1.%2.%3　"/>
      <w:lvlJc w:val="left"/>
      <w:pPr>
        <w:ind w:left="0" w:firstLine="0"/>
      </w:pPr>
      <w:rPr>
        <w:rFonts w:hint="eastAsia" w:ascii="黑体" w:hAnsi="Times New Roman" w:eastAsia="黑体"/>
        <w:b w:val="0"/>
        <w:i w:val="0"/>
        <w:sz w:val="21"/>
      </w:rPr>
    </w:lvl>
    <w:lvl w:ilvl="3" w:tentative="0">
      <w:start w:val="1"/>
      <w:numFmt w:val="decimal"/>
      <w:pStyle w:val="59"/>
      <w:suff w:val="nothing"/>
      <w:lvlText w:val="%1.%2.%3.%4　"/>
      <w:lvlJc w:val="left"/>
      <w:pPr>
        <w:ind w:left="0" w:firstLine="0"/>
      </w:pPr>
      <w:rPr>
        <w:rFonts w:hint="eastAsia" w:ascii="黑体" w:hAnsi="Times New Roman" w:eastAsia="黑体"/>
        <w:b w:val="0"/>
        <w:i w:val="0"/>
        <w:sz w:val="21"/>
      </w:rPr>
    </w:lvl>
    <w:lvl w:ilvl="4" w:tentative="0">
      <w:start w:val="1"/>
      <w:numFmt w:val="decimal"/>
      <w:pStyle w:val="60"/>
      <w:suff w:val="nothing"/>
      <w:lvlText w:val="%1.%2.%3.%4.%5　"/>
      <w:lvlJc w:val="left"/>
      <w:pPr>
        <w:ind w:left="0" w:firstLine="0"/>
      </w:pPr>
      <w:rPr>
        <w:rFonts w:hint="eastAsia" w:ascii="黑体" w:hAnsi="Times New Roman" w:eastAsia="黑体"/>
        <w:b w:val="0"/>
        <w:i w:val="0"/>
        <w:sz w:val="21"/>
      </w:rPr>
    </w:lvl>
    <w:lvl w:ilvl="5" w:tentative="0">
      <w:start w:val="1"/>
      <w:numFmt w:val="decimal"/>
      <w:pStyle w:val="61"/>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0473A6CC"/>
    <w:multiLevelType w:val="multilevel"/>
    <w:tmpl w:val="0473A6CC"/>
    <w:lvl w:ilvl="0" w:tentative="0">
      <w:start w:val="1"/>
      <w:numFmt w:val="upperLetter"/>
      <w:pStyle w:val="51"/>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63"/>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64"/>
      <w:suff w:val="nothing"/>
      <w:lvlText w:val="%1.%2.%3　"/>
      <w:lvlJc w:val="left"/>
      <w:pPr>
        <w:ind w:left="0" w:firstLine="0"/>
      </w:pPr>
      <w:rPr>
        <w:rFonts w:hint="eastAsia" w:ascii="黑体" w:hAnsi="Times New Roman" w:eastAsia="黑体"/>
        <w:b w:val="0"/>
        <w:i w:val="0"/>
        <w:sz w:val="21"/>
      </w:rPr>
    </w:lvl>
    <w:lvl w:ilvl="3" w:tentative="0">
      <w:start w:val="1"/>
      <w:numFmt w:val="decimal"/>
      <w:pStyle w:val="65"/>
      <w:suff w:val="nothing"/>
      <w:lvlText w:val="%1.%2.%3.%4　"/>
      <w:lvlJc w:val="left"/>
      <w:pPr>
        <w:ind w:left="0" w:firstLine="0"/>
      </w:pPr>
      <w:rPr>
        <w:rFonts w:hint="eastAsia" w:ascii="黑体" w:hAnsi="Times New Roman" w:eastAsia="黑体"/>
        <w:b w:val="0"/>
        <w:i w:val="0"/>
        <w:sz w:val="21"/>
      </w:rPr>
    </w:lvl>
    <w:lvl w:ilvl="4" w:tentative="0">
      <w:start w:val="1"/>
      <w:numFmt w:val="decimal"/>
      <w:pStyle w:val="66"/>
      <w:suff w:val="nothing"/>
      <w:lvlText w:val="%1.%2.%3.%4.%5　"/>
      <w:lvlJc w:val="left"/>
      <w:pPr>
        <w:ind w:left="0" w:firstLine="0"/>
      </w:pPr>
      <w:rPr>
        <w:rFonts w:hint="eastAsia" w:ascii="黑体" w:hAnsi="Times New Roman" w:eastAsia="黑体"/>
        <w:b w:val="0"/>
        <w:i w:val="0"/>
        <w:sz w:val="21"/>
      </w:rPr>
    </w:lvl>
    <w:lvl w:ilvl="5" w:tentative="0">
      <w:start w:val="1"/>
      <w:numFmt w:val="decimal"/>
      <w:pStyle w:val="67"/>
      <w:suff w:val="nothing"/>
      <w:lvlText w:val="%1.%2.%3.%4.%5.%6　"/>
      <w:lvlJc w:val="left"/>
      <w:pPr>
        <w:ind w:left="0" w:firstLine="0"/>
      </w:pPr>
      <w:rPr>
        <w:rFonts w:hint="eastAsia" w:ascii="黑体" w:hAnsi="Times New Roman" w:eastAsia="黑体"/>
        <w:b w:val="0"/>
        <w:i w:val="0"/>
        <w:sz w:val="21"/>
      </w:rPr>
    </w:lvl>
    <w:lvl w:ilvl="6" w:tentative="0">
      <w:start w:val="1"/>
      <w:numFmt w:val="decimal"/>
      <w:pStyle w:val="6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1806EE41"/>
    <w:multiLevelType w:val="multilevel"/>
    <w:tmpl w:val="1806EE41"/>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2196B926"/>
    <w:multiLevelType w:val="multilevel"/>
    <w:tmpl w:val="2196B926"/>
    <w:lvl w:ilvl="0" w:tentative="0">
      <w:start w:val="1"/>
      <w:numFmt w:val="decimal"/>
      <w:pStyle w:val="69"/>
      <w:suff w:val="nothing"/>
      <w:lvlText w:val="注%1："/>
      <w:lvlJc w:val="left"/>
      <w:pPr>
        <w:tabs>
          <w:tab w:val="left" w:pos="0"/>
        </w:tabs>
        <w:ind w:left="811" w:hanging="448"/>
      </w:pPr>
      <w:rPr>
        <w:rFonts w:hint="default" w:ascii="黑体" w:hAns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5">
    <w:nsid w:val="5E163CCE"/>
    <w:multiLevelType w:val="multilevel"/>
    <w:tmpl w:val="5E163CCE"/>
    <w:lvl w:ilvl="0" w:tentative="0">
      <w:start w:val="1"/>
      <w:numFmt w:val="decimal"/>
      <w:pStyle w:val="62"/>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2"/>
  </w:num>
  <w:num w:numId="3">
    <w:abstractNumId w:val="3"/>
  </w:num>
  <w:num w:numId="4">
    <w:abstractNumId w:val="1"/>
  </w:num>
  <w:num w:numId="5">
    <w:abstractNumId w:val="5"/>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mirrorMargins w:val="1"/>
  <w:bordersDoNotSurroundHeader w:val="0"/>
  <w:bordersDoNotSurroundFooter w:val="0"/>
  <w:revisionView w:markup="0"/>
  <w:documentProtection w:enforcement="0"/>
  <w:defaultTabStop w:val="420"/>
  <w:evenAndOddHeaders w:val="1"/>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mYWEyOTMyZWRjNmMzYmQxYzYxNGZhYTg3M2Y3MDgifQ=="/>
  </w:docVars>
  <w:rsids>
    <w:rsidRoot w:val="00B81205"/>
    <w:rsid w:val="00071A4B"/>
    <w:rsid w:val="000D5A5C"/>
    <w:rsid w:val="001B3C41"/>
    <w:rsid w:val="001C0491"/>
    <w:rsid w:val="002669B6"/>
    <w:rsid w:val="00280A3A"/>
    <w:rsid w:val="002B4295"/>
    <w:rsid w:val="002E01A3"/>
    <w:rsid w:val="003E43C5"/>
    <w:rsid w:val="003F338F"/>
    <w:rsid w:val="0046738B"/>
    <w:rsid w:val="004E48AC"/>
    <w:rsid w:val="004E5526"/>
    <w:rsid w:val="004E5D86"/>
    <w:rsid w:val="004F4262"/>
    <w:rsid w:val="00505AD9"/>
    <w:rsid w:val="00554A21"/>
    <w:rsid w:val="00585FDC"/>
    <w:rsid w:val="005B131D"/>
    <w:rsid w:val="005F037B"/>
    <w:rsid w:val="005F1DF3"/>
    <w:rsid w:val="006F1A7D"/>
    <w:rsid w:val="007203CA"/>
    <w:rsid w:val="00772E8D"/>
    <w:rsid w:val="007B43BA"/>
    <w:rsid w:val="007C2E55"/>
    <w:rsid w:val="007E4CA5"/>
    <w:rsid w:val="007F3A41"/>
    <w:rsid w:val="00816DEF"/>
    <w:rsid w:val="008D2ED6"/>
    <w:rsid w:val="009053CA"/>
    <w:rsid w:val="00984DDB"/>
    <w:rsid w:val="00A05074"/>
    <w:rsid w:val="00B406C6"/>
    <w:rsid w:val="00B81205"/>
    <w:rsid w:val="00C671DC"/>
    <w:rsid w:val="00CA2D0F"/>
    <w:rsid w:val="00CE0F0F"/>
    <w:rsid w:val="00D37118"/>
    <w:rsid w:val="00DB05BE"/>
    <w:rsid w:val="00DD51FF"/>
    <w:rsid w:val="00E40B4A"/>
    <w:rsid w:val="00ED71A4"/>
    <w:rsid w:val="00F003C0"/>
    <w:rsid w:val="00FD6493"/>
    <w:rsid w:val="01471C5B"/>
    <w:rsid w:val="014C5E32"/>
    <w:rsid w:val="01924B78"/>
    <w:rsid w:val="019311CD"/>
    <w:rsid w:val="01934780"/>
    <w:rsid w:val="01956C5E"/>
    <w:rsid w:val="01AA64E9"/>
    <w:rsid w:val="01F300E1"/>
    <w:rsid w:val="01FA65AD"/>
    <w:rsid w:val="02126F93"/>
    <w:rsid w:val="02A971AE"/>
    <w:rsid w:val="031553CD"/>
    <w:rsid w:val="034714F1"/>
    <w:rsid w:val="039448FA"/>
    <w:rsid w:val="03C50C5A"/>
    <w:rsid w:val="03E868D9"/>
    <w:rsid w:val="04701595"/>
    <w:rsid w:val="05277E70"/>
    <w:rsid w:val="05AC6CA9"/>
    <w:rsid w:val="05CD4E07"/>
    <w:rsid w:val="0610510E"/>
    <w:rsid w:val="06755314"/>
    <w:rsid w:val="0680104B"/>
    <w:rsid w:val="0689025A"/>
    <w:rsid w:val="069850B0"/>
    <w:rsid w:val="07300CC3"/>
    <w:rsid w:val="07631ACD"/>
    <w:rsid w:val="077961C6"/>
    <w:rsid w:val="077D3FD9"/>
    <w:rsid w:val="07D270BF"/>
    <w:rsid w:val="07FC0BA5"/>
    <w:rsid w:val="08001A50"/>
    <w:rsid w:val="081A76A1"/>
    <w:rsid w:val="089521AC"/>
    <w:rsid w:val="08A412D5"/>
    <w:rsid w:val="08D07800"/>
    <w:rsid w:val="09195C07"/>
    <w:rsid w:val="09300C61"/>
    <w:rsid w:val="09322AD0"/>
    <w:rsid w:val="09641537"/>
    <w:rsid w:val="09995EB8"/>
    <w:rsid w:val="09A05E1D"/>
    <w:rsid w:val="09AE0BCF"/>
    <w:rsid w:val="0AC013B0"/>
    <w:rsid w:val="0ACE68D3"/>
    <w:rsid w:val="0B166C1F"/>
    <w:rsid w:val="0B1E66F6"/>
    <w:rsid w:val="0B7F7FAE"/>
    <w:rsid w:val="0BAC7898"/>
    <w:rsid w:val="0CFB12AF"/>
    <w:rsid w:val="0D3F1C6A"/>
    <w:rsid w:val="0D504614"/>
    <w:rsid w:val="0DA23226"/>
    <w:rsid w:val="0DA25D4B"/>
    <w:rsid w:val="0DD55D74"/>
    <w:rsid w:val="0DE46F59"/>
    <w:rsid w:val="0DF40BB5"/>
    <w:rsid w:val="0E484B44"/>
    <w:rsid w:val="0E6C234E"/>
    <w:rsid w:val="0E7B0A75"/>
    <w:rsid w:val="0E7B1B12"/>
    <w:rsid w:val="0ED22DFC"/>
    <w:rsid w:val="0ED9102E"/>
    <w:rsid w:val="100060E1"/>
    <w:rsid w:val="101C4572"/>
    <w:rsid w:val="10BD5244"/>
    <w:rsid w:val="10ED30E9"/>
    <w:rsid w:val="117874EE"/>
    <w:rsid w:val="120062CA"/>
    <w:rsid w:val="120E75DF"/>
    <w:rsid w:val="122B4182"/>
    <w:rsid w:val="123B53E2"/>
    <w:rsid w:val="12B44556"/>
    <w:rsid w:val="131405DC"/>
    <w:rsid w:val="13297363"/>
    <w:rsid w:val="134F50ED"/>
    <w:rsid w:val="137F3F40"/>
    <w:rsid w:val="13A03D1D"/>
    <w:rsid w:val="14411E19"/>
    <w:rsid w:val="14BA370F"/>
    <w:rsid w:val="14CB5794"/>
    <w:rsid w:val="14D964F6"/>
    <w:rsid w:val="152C35B9"/>
    <w:rsid w:val="15612C23"/>
    <w:rsid w:val="15671602"/>
    <w:rsid w:val="15835609"/>
    <w:rsid w:val="15B81E22"/>
    <w:rsid w:val="161E0F3C"/>
    <w:rsid w:val="16282B81"/>
    <w:rsid w:val="166B7621"/>
    <w:rsid w:val="167E1378"/>
    <w:rsid w:val="16F53278"/>
    <w:rsid w:val="171D549A"/>
    <w:rsid w:val="172F679A"/>
    <w:rsid w:val="17375756"/>
    <w:rsid w:val="17433E50"/>
    <w:rsid w:val="177E3384"/>
    <w:rsid w:val="17FC381C"/>
    <w:rsid w:val="19094ED0"/>
    <w:rsid w:val="191A13B1"/>
    <w:rsid w:val="193956B8"/>
    <w:rsid w:val="19736D86"/>
    <w:rsid w:val="199E44E8"/>
    <w:rsid w:val="19B51AC8"/>
    <w:rsid w:val="19C6548F"/>
    <w:rsid w:val="19E13111"/>
    <w:rsid w:val="19FE222C"/>
    <w:rsid w:val="1A514D80"/>
    <w:rsid w:val="1AB2088C"/>
    <w:rsid w:val="1ACB4B33"/>
    <w:rsid w:val="1B18764C"/>
    <w:rsid w:val="1B7625B8"/>
    <w:rsid w:val="1B9F261C"/>
    <w:rsid w:val="1BA82918"/>
    <w:rsid w:val="1BB92BDD"/>
    <w:rsid w:val="1C307F81"/>
    <w:rsid w:val="1C4F52EF"/>
    <w:rsid w:val="1CA078F9"/>
    <w:rsid w:val="1D1C1BE2"/>
    <w:rsid w:val="1D3D04EB"/>
    <w:rsid w:val="1DA767F2"/>
    <w:rsid w:val="1DF470E3"/>
    <w:rsid w:val="1E3F1D12"/>
    <w:rsid w:val="1E56700B"/>
    <w:rsid w:val="1EA8342C"/>
    <w:rsid w:val="1EBA2EF4"/>
    <w:rsid w:val="1EC024D4"/>
    <w:rsid w:val="1ECB5101"/>
    <w:rsid w:val="1F2A2C2F"/>
    <w:rsid w:val="1F2C6C81"/>
    <w:rsid w:val="1F8142F4"/>
    <w:rsid w:val="1FCF547A"/>
    <w:rsid w:val="200D1749"/>
    <w:rsid w:val="20740AF8"/>
    <w:rsid w:val="20803CC9"/>
    <w:rsid w:val="20965162"/>
    <w:rsid w:val="20AA6D97"/>
    <w:rsid w:val="20B1259F"/>
    <w:rsid w:val="20B76DF4"/>
    <w:rsid w:val="21242D99"/>
    <w:rsid w:val="214336AD"/>
    <w:rsid w:val="21964E4A"/>
    <w:rsid w:val="21A24B16"/>
    <w:rsid w:val="21BC4040"/>
    <w:rsid w:val="21C14BB6"/>
    <w:rsid w:val="21F11E46"/>
    <w:rsid w:val="22246D6A"/>
    <w:rsid w:val="22477195"/>
    <w:rsid w:val="22721D38"/>
    <w:rsid w:val="228C3743"/>
    <w:rsid w:val="22A82B40"/>
    <w:rsid w:val="22E964FD"/>
    <w:rsid w:val="22F3300D"/>
    <w:rsid w:val="22FD647B"/>
    <w:rsid w:val="23277AB2"/>
    <w:rsid w:val="234A4EA5"/>
    <w:rsid w:val="23A22B80"/>
    <w:rsid w:val="23D17DBA"/>
    <w:rsid w:val="23DC063A"/>
    <w:rsid w:val="241950C3"/>
    <w:rsid w:val="243F0808"/>
    <w:rsid w:val="24A13C25"/>
    <w:rsid w:val="24D25EA5"/>
    <w:rsid w:val="25A26301"/>
    <w:rsid w:val="25E847EB"/>
    <w:rsid w:val="26442533"/>
    <w:rsid w:val="26657803"/>
    <w:rsid w:val="26D44A78"/>
    <w:rsid w:val="274C0078"/>
    <w:rsid w:val="27760E64"/>
    <w:rsid w:val="27CA430D"/>
    <w:rsid w:val="27E965F8"/>
    <w:rsid w:val="28032D22"/>
    <w:rsid w:val="284B2E0F"/>
    <w:rsid w:val="284D0046"/>
    <w:rsid w:val="288D1AA4"/>
    <w:rsid w:val="29CD3AB3"/>
    <w:rsid w:val="2A2432A2"/>
    <w:rsid w:val="2A6446D6"/>
    <w:rsid w:val="2A704730"/>
    <w:rsid w:val="2A782430"/>
    <w:rsid w:val="2AB76136"/>
    <w:rsid w:val="2B26499F"/>
    <w:rsid w:val="2B2C20F9"/>
    <w:rsid w:val="2B6C2654"/>
    <w:rsid w:val="2B8157FD"/>
    <w:rsid w:val="2BC35E55"/>
    <w:rsid w:val="2BCC7F8A"/>
    <w:rsid w:val="2BFF7125"/>
    <w:rsid w:val="2C9034E6"/>
    <w:rsid w:val="2CB5676D"/>
    <w:rsid w:val="2CCB4B8A"/>
    <w:rsid w:val="2CE675AA"/>
    <w:rsid w:val="2CF20F4C"/>
    <w:rsid w:val="2D3D3FE9"/>
    <w:rsid w:val="2D5B04EF"/>
    <w:rsid w:val="2D5B2899"/>
    <w:rsid w:val="2D67255C"/>
    <w:rsid w:val="2DFA4629"/>
    <w:rsid w:val="2E9D638E"/>
    <w:rsid w:val="2EE12DCD"/>
    <w:rsid w:val="2F3445FD"/>
    <w:rsid w:val="2F513007"/>
    <w:rsid w:val="2F967065"/>
    <w:rsid w:val="2F9914AB"/>
    <w:rsid w:val="2FC35A3B"/>
    <w:rsid w:val="2FC460F0"/>
    <w:rsid w:val="2FE778C1"/>
    <w:rsid w:val="305C0AD5"/>
    <w:rsid w:val="305C7FCC"/>
    <w:rsid w:val="30AE03DF"/>
    <w:rsid w:val="30D02334"/>
    <w:rsid w:val="31753181"/>
    <w:rsid w:val="31DE76B3"/>
    <w:rsid w:val="32637BC9"/>
    <w:rsid w:val="328E083B"/>
    <w:rsid w:val="32AD0A52"/>
    <w:rsid w:val="33CF49CF"/>
    <w:rsid w:val="33F204B7"/>
    <w:rsid w:val="34091795"/>
    <w:rsid w:val="34873421"/>
    <w:rsid w:val="34BA5F8F"/>
    <w:rsid w:val="34E268A9"/>
    <w:rsid w:val="34FB5A11"/>
    <w:rsid w:val="34FE68A4"/>
    <w:rsid w:val="353C420B"/>
    <w:rsid w:val="35436E2C"/>
    <w:rsid w:val="354D24D7"/>
    <w:rsid w:val="35B50461"/>
    <w:rsid w:val="360D5BA8"/>
    <w:rsid w:val="36236A33"/>
    <w:rsid w:val="36490672"/>
    <w:rsid w:val="366F0610"/>
    <w:rsid w:val="36985DB9"/>
    <w:rsid w:val="374B2E2B"/>
    <w:rsid w:val="37B147FE"/>
    <w:rsid w:val="38C747FE"/>
    <w:rsid w:val="38F17A02"/>
    <w:rsid w:val="394D0261"/>
    <w:rsid w:val="39934616"/>
    <w:rsid w:val="39C12F31"/>
    <w:rsid w:val="39E235AD"/>
    <w:rsid w:val="39E34B53"/>
    <w:rsid w:val="39FC2BEE"/>
    <w:rsid w:val="3A1976E0"/>
    <w:rsid w:val="3A38071F"/>
    <w:rsid w:val="3A492B1F"/>
    <w:rsid w:val="3AF007E7"/>
    <w:rsid w:val="3AF536C2"/>
    <w:rsid w:val="3B687C2C"/>
    <w:rsid w:val="3BA37364"/>
    <w:rsid w:val="3BB3248B"/>
    <w:rsid w:val="3C7F70D3"/>
    <w:rsid w:val="3C9B1898"/>
    <w:rsid w:val="3CAA4C79"/>
    <w:rsid w:val="3CD04520"/>
    <w:rsid w:val="3CEE4F5E"/>
    <w:rsid w:val="3D3D6F88"/>
    <w:rsid w:val="3D6C58AA"/>
    <w:rsid w:val="3D913BF0"/>
    <w:rsid w:val="3D9C2ECE"/>
    <w:rsid w:val="3D9C7922"/>
    <w:rsid w:val="3DC8229F"/>
    <w:rsid w:val="3E7E2A01"/>
    <w:rsid w:val="3E99447C"/>
    <w:rsid w:val="3EA019BA"/>
    <w:rsid w:val="3EC967DD"/>
    <w:rsid w:val="3EF37BF4"/>
    <w:rsid w:val="3F1735F3"/>
    <w:rsid w:val="3FF322B2"/>
    <w:rsid w:val="407128FD"/>
    <w:rsid w:val="409920A0"/>
    <w:rsid w:val="40B557B9"/>
    <w:rsid w:val="416361FC"/>
    <w:rsid w:val="417E5127"/>
    <w:rsid w:val="42175280"/>
    <w:rsid w:val="42427A67"/>
    <w:rsid w:val="4253528A"/>
    <w:rsid w:val="42A40706"/>
    <w:rsid w:val="42E81C22"/>
    <w:rsid w:val="43754D8C"/>
    <w:rsid w:val="44246EF4"/>
    <w:rsid w:val="447E47D3"/>
    <w:rsid w:val="44A21ECC"/>
    <w:rsid w:val="44E421C9"/>
    <w:rsid w:val="458D2861"/>
    <w:rsid w:val="458D501B"/>
    <w:rsid w:val="469419EB"/>
    <w:rsid w:val="46CA3264"/>
    <w:rsid w:val="46D70648"/>
    <w:rsid w:val="46D95029"/>
    <w:rsid w:val="46DB598E"/>
    <w:rsid w:val="470D3DFF"/>
    <w:rsid w:val="477138FE"/>
    <w:rsid w:val="47A41F3B"/>
    <w:rsid w:val="47C870D6"/>
    <w:rsid w:val="47F740D1"/>
    <w:rsid w:val="4824778B"/>
    <w:rsid w:val="48480BE6"/>
    <w:rsid w:val="48D76775"/>
    <w:rsid w:val="48F350D1"/>
    <w:rsid w:val="491A4480"/>
    <w:rsid w:val="491B55F0"/>
    <w:rsid w:val="4961203A"/>
    <w:rsid w:val="49934D99"/>
    <w:rsid w:val="49A42A60"/>
    <w:rsid w:val="4A072C9B"/>
    <w:rsid w:val="4A811448"/>
    <w:rsid w:val="4AB42A3A"/>
    <w:rsid w:val="4B2C75B7"/>
    <w:rsid w:val="4B427308"/>
    <w:rsid w:val="4B62209A"/>
    <w:rsid w:val="4B917FAC"/>
    <w:rsid w:val="4BE724CE"/>
    <w:rsid w:val="4C404189"/>
    <w:rsid w:val="4C692567"/>
    <w:rsid w:val="4CBB7CB4"/>
    <w:rsid w:val="4CE119E0"/>
    <w:rsid w:val="4CEE43EC"/>
    <w:rsid w:val="4D1D2091"/>
    <w:rsid w:val="4D3B507D"/>
    <w:rsid w:val="4E8D245D"/>
    <w:rsid w:val="4EC71647"/>
    <w:rsid w:val="4ECD1F20"/>
    <w:rsid w:val="4ECF7F33"/>
    <w:rsid w:val="4F043B94"/>
    <w:rsid w:val="4FAF1190"/>
    <w:rsid w:val="50064DCF"/>
    <w:rsid w:val="50137E07"/>
    <w:rsid w:val="501A74F9"/>
    <w:rsid w:val="50DE0415"/>
    <w:rsid w:val="51581517"/>
    <w:rsid w:val="524844E7"/>
    <w:rsid w:val="52D50A4A"/>
    <w:rsid w:val="52E02D9B"/>
    <w:rsid w:val="544E283D"/>
    <w:rsid w:val="548D0188"/>
    <w:rsid w:val="549E0B9F"/>
    <w:rsid w:val="55111CCC"/>
    <w:rsid w:val="552440ED"/>
    <w:rsid w:val="5582580F"/>
    <w:rsid w:val="55DE750F"/>
    <w:rsid w:val="55EC35B0"/>
    <w:rsid w:val="56D13FFC"/>
    <w:rsid w:val="5704646E"/>
    <w:rsid w:val="573A43E7"/>
    <w:rsid w:val="577D53F8"/>
    <w:rsid w:val="578A5E86"/>
    <w:rsid w:val="58450D79"/>
    <w:rsid w:val="588A009B"/>
    <w:rsid w:val="58CF0AD3"/>
    <w:rsid w:val="59682F71"/>
    <w:rsid w:val="59EA7E2A"/>
    <w:rsid w:val="59FF13B5"/>
    <w:rsid w:val="5A6E6576"/>
    <w:rsid w:val="5A764157"/>
    <w:rsid w:val="5AC71F19"/>
    <w:rsid w:val="5AF70569"/>
    <w:rsid w:val="5B445B97"/>
    <w:rsid w:val="5BEA25DE"/>
    <w:rsid w:val="5C27220A"/>
    <w:rsid w:val="5C3D4584"/>
    <w:rsid w:val="5C433E20"/>
    <w:rsid w:val="5C4D3B3B"/>
    <w:rsid w:val="5C6B34A4"/>
    <w:rsid w:val="5CD945FC"/>
    <w:rsid w:val="5D4B127F"/>
    <w:rsid w:val="5E02148F"/>
    <w:rsid w:val="5E055233"/>
    <w:rsid w:val="5E0D2339"/>
    <w:rsid w:val="5E613A39"/>
    <w:rsid w:val="5ED32C8E"/>
    <w:rsid w:val="5F217E4A"/>
    <w:rsid w:val="5F811FEE"/>
    <w:rsid w:val="5F83500A"/>
    <w:rsid w:val="5FAC381F"/>
    <w:rsid w:val="5FB63195"/>
    <w:rsid w:val="600757BF"/>
    <w:rsid w:val="601C11A4"/>
    <w:rsid w:val="608862EB"/>
    <w:rsid w:val="60A01097"/>
    <w:rsid w:val="60DE17B8"/>
    <w:rsid w:val="610E2650"/>
    <w:rsid w:val="61502C69"/>
    <w:rsid w:val="61740091"/>
    <w:rsid w:val="62053A53"/>
    <w:rsid w:val="620852F1"/>
    <w:rsid w:val="62161A12"/>
    <w:rsid w:val="62744B58"/>
    <w:rsid w:val="62D13935"/>
    <w:rsid w:val="630E4B89"/>
    <w:rsid w:val="631C29DD"/>
    <w:rsid w:val="6364528A"/>
    <w:rsid w:val="641414C0"/>
    <w:rsid w:val="64300D1E"/>
    <w:rsid w:val="643B6A60"/>
    <w:rsid w:val="64736203"/>
    <w:rsid w:val="64963838"/>
    <w:rsid w:val="64CC61A2"/>
    <w:rsid w:val="652112B9"/>
    <w:rsid w:val="65235DD0"/>
    <w:rsid w:val="656520E7"/>
    <w:rsid w:val="6663171A"/>
    <w:rsid w:val="666B1F2A"/>
    <w:rsid w:val="66E86ED2"/>
    <w:rsid w:val="672524A2"/>
    <w:rsid w:val="67876CB8"/>
    <w:rsid w:val="67A8101C"/>
    <w:rsid w:val="686516CA"/>
    <w:rsid w:val="68DA0494"/>
    <w:rsid w:val="68F36C98"/>
    <w:rsid w:val="69092A3D"/>
    <w:rsid w:val="691E189E"/>
    <w:rsid w:val="692F0ADA"/>
    <w:rsid w:val="69CA7330"/>
    <w:rsid w:val="69EA0AB7"/>
    <w:rsid w:val="6A142BBA"/>
    <w:rsid w:val="6AB5778A"/>
    <w:rsid w:val="6ADD518F"/>
    <w:rsid w:val="6B0A52FF"/>
    <w:rsid w:val="6B5A718F"/>
    <w:rsid w:val="6B925339"/>
    <w:rsid w:val="6BA455ED"/>
    <w:rsid w:val="6BAE6850"/>
    <w:rsid w:val="6BE4292B"/>
    <w:rsid w:val="6C1C4B71"/>
    <w:rsid w:val="6C9824B9"/>
    <w:rsid w:val="6CF27E54"/>
    <w:rsid w:val="6CFC23A6"/>
    <w:rsid w:val="6D0112BB"/>
    <w:rsid w:val="6D2B7666"/>
    <w:rsid w:val="6D3E12F1"/>
    <w:rsid w:val="6D7A6611"/>
    <w:rsid w:val="6DA9361F"/>
    <w:rsid w:val="6DB16A71"/>
    <w:rsid w:val="6DB439A3"/>
    <w:rsid w:val="6DCF704F"/>
    <w:rsid w:val="6DE948BF"/>
    <w:rsid w:val="6DEC3D19"/>
    <w:rsid w:val="6E500FE9"/>
    <w:rsid w:val="6EA14A3F"/>
    <w:rsid w:val="6F3F60CB"/>
    <w:rsid w:val="6F4D5149"/>
    <w:rsid w:val="6F6C50A1"/>
    <w:rsid w:val="6F765F90"/>
    <w:rsid w:val="703277A2"/>
    <w:rsid w:val="710D5CB4"/>
    <w:rsid w:val="714814E8"/>
    <w:rsid w:val="71485475"/>
    <w:rsid w:val="714A3825"/>
    <w:rsid w:val="71874363"/>
    <w:rsid w:val="718D2140"/>
    <w:rsid w:val="71D322A9"/>
    <w:rsid w:val="71EC78AB"/>
    <w:rsid w:val="71FF1096"/>
    <w:rsid w:val="728C7879"/>
    <w:rsid w:val="73536D91"/>
    <w:rsid w:val="745C4B26"/>
    <w:rsid w:val="74600FBD"/>
    <w:rsid w:val="74B82E61"/>
    <w:rsid w:val="74B86703"/>
    <w:rsid w:val="74DD43BC"/>
    <w:rsid w:val="74F06E86"/>
    <w:rsid w:val="75090C00"/>
    <w:rsid w:val="751A73BE"/>
    <w:rsid w:val="753868E5"/>
    <w:rsid w:val="75936516"/>
    <w:rsid w:val="759D269A"/>
    <w:rsid w:val="75B863E7"/>
    <w:rsid w:val="75F45E61"/>
    <w:rsid w:val="76131AEC"/>
    <w:rsid w:val="76151DCE"/>
    <w:rsid w:val="761756AB"/>
    <w:rsid w:val="762C5225"/>
    <w:rsid w:val="766B192D"/>
    <w:rsid w:val="76C91944"/>
    <w:rsid w:val="776E0387"/>
    <w:rsid w:val="776E0D08"/>
    <w:rsid w:val="77B81955"/>
    <w:rsid w:val="77C95C2C"/>
    <w:rsid w:val="77D02E72"/>
    <w:rsid w:val="781D430C"/>
    <w:rsid w:val="78F4378A"/>
    <w:rsid w:val="795365EB"/>
    <w:rsid w:val="79667075"/>
    <w:rsid w:val="79862065"/>
    <w:rsid w:val="799E4CF6"/>
    <w:rsid w:val="79E306C6"/>
    <w:rsid w:val="7A050965"/>
    <w:rsid w:val="7A23392F"/>
    <w:rsid w:val="7A363DAE"/>
    <w:rsid w:val="7A40725A"/>
    <w:rsid w:val="7B2E3BC3"/>
    <w:rsid w:val="7B431EAF"/>
    <w:rsid w:val="7BA6306C"/>
    <w:rsid w:val="7BB1522D"/>
    <w:rsid w:val="7BB57E40"/>
    <w:rsid w:val="7BEC06ED"/>
    <w:rsid w:val="7C091F3A"/>
    <w:rsid w:val="7C0D69E0"/>
    <w:rsid w:val="7C1B0E7B"/>
    <w:rsid w:val="7C1B3FD5"/>
    <w:rsid w:val="7C2428D0"/>
    <w:rsid w:val="7C2D7C56"/>
    <w:rsid w:val="7D06273D"/>
    <w:rsid w:val="7D255016"/>
    <w:rsid w:val="7D5E2210"/>
    <w:rsid w:val="7D7A14F4"/>
    <w:rsid w:val="7D814A45"/>
    <w:rsid w:val="7D9944C9"/>
    <w:rsid w:val="7D9E3E57"/>
    <w:rsid w:val="7DA261A2"/>
    <w:rsid w:val="7DE32369"/>
    <w:rsid w:val="7E1A3F8B"/>
    <w:rsid w:val="7E494FFB"/>
    <w:rsid w:val="7E4E4FAF"/>
    <w:rsid w:val="7E8F1948"/>
    <w:rsid w:val="7F351B01"/>
    <w:rsid w:val="7F4219EB"/>
    <w:rsid w:val="7F455D50"/>
    <w:rsid w:val="7F802513"/>
    <w:rsid w:val="7F803ED0"/>
    <w:rsid w:val="7FA335D0"/>
    <w:rsid w:val="7FBB6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ind w:firstLine="562" w:firstLineChars="200"/>
      <w:jc w:val="both"/>
    </w:pPr>
    <w:rPr>
      <w:rFonts w:ascii="宋体" w:hAnsi="宋体" w:eastAsia="宋体" w:cstheme="minorBidi"/>
      <w:kern w:val="2"/>
      <w:sz w:val="21"/>
      <w:szCs w:val="24"/>
      <w:lang w:val="en-US" w:eastAsia="zh-CN" w:bidi="ar-SA"/>
    </w:rPr>
  </w:style>
  <w:style w:type="paragraph" w:styleId="2">
    <w:name w:val="heading 1"/>
    <w:basedOn w:val="1"/>
    <w:next w:val="1"/>
    <w:link w:val="47"/>
    <w:qFormat/>
    <w:uiPriority w:val="0"/>
    <w:pPr>
      <w:keepNext/>
      <w:keepLines/>
      <w:spacing w:before="340" w:beforeLines="0" w:after="330" w:line="576" w:lineRule="auto"/>
      <w:outlineLvl w:val="0"/>
    </w:pPr>
    <w:rPr>
      <w:b/>
      <w:kern w:val="44"/>
      <w:sz w:val="44"/>
    </w:rPr>
  </w:style>
  <w:style w:type="paragraph" w:styleId="3">
    <w:name w:val="heading 2"/>
    <w:basedOn w:val="1"/>
    <w:next w:val="1"/>
    <w:unhideWhenUsed/>
    <w:qFormat/>
    <w:uiPriority w:val="0"/>
    <w:pPr>
      <w:ind w:firstLine="0" w:firstLineChars="0"/>
      <w:jc w:val="left"/>
      <w:outlineLvl w:val="1"/>
    </w:pPr>
    <w:rPr>
      <w:rFonts w:hint="eastAsia" w:eastAsia="微软雅黑" w:cs="Times New Roman"/>
      <w:b/>
      <w:bCs/>
      <w:kern w:val="0"/>
      <w:sz w:val="28"/>
      <w:szCs w:val="36"/>
    </w:rPr>
  </w:style>
  <w:style w:type="paragraph" w:styleId="4">
    <w:name w:val="heading 3"/>
    <w:basedOn w:val="1"/>
    <w:next w:val="1"/>
    <w:link w:val="24"/>
    <w:unhideWhenUsed/>
    <w:qFormat/>
    <w:uiPriority w:val="9"/>
    <w:pPr>
      <w:spacing w:before="0"/>
      <w:ind w:firstLine="0" w:firstLineChars="0"/>
      <w:jc w:val="left"/>
      <w:outlineLvl w:val="2"/>
    </w:pPr>
    <w:rPr>
      <w:rFonts w:ascii="Times New Roman" w:hAnsi="Times New Roman" w:eastAsia="微软雅黑" w:cs="Times New Roman"/>
      <w:b/>
      <w:bCs/>
      <w:kern w:val="0"/>
      <w:sz w:val="24"/>
      <w:szCs w:val="27"/>
    </w:rPr>
  </w:style>
  <w:style w:type="paragraph" w:styleId="5">
    <w:name w:val="heading 4"/>
    <w:basedOn w:val="1"/>
    <w:next w:val="1"/>
    <w:link w:val="23"/>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semiHidden/>
    <w:unhideWhenUsed/>
    <w:qFormat/>
    <w:uiPriority w:val="0"/>
    <w:rPr>
      <w:rFonts w:ascii="Arial" w:hAnsi="Arial" w:eastAsia="黑体"/>
      <w:sz w:val="20"/>
    </w:rPr>
  </w:style>
  <w:style w:type="paragraph" w:styleId="7">
    <w:name w:val="annotation text"/>
    <w:basedOn w:val="1"/>
    <w:link w:val="39"/>
    <w:qFormat/>
    <w:uiPriority w:val="0"/>
    <w:pPr>
      <w:jc w:val="left"/>
    </w:pPr>
  </w:style>
  <w:style w:type="paragraph" w:styleId="8">
    <w:name w:val="Body Text"/>
    <w:basedOn w:val="1"/>
    <w:semiHidden/>
    <w:qFormat/>
    <w:uiPriority w:val="0"/>
    <w:rPr>
      <w:rFonts w:ascii="黑体" w:hAnsi="黑体" w:eastAsia="黑体" w:cs="黑体"/>
      <w:sz w:val="28"/>
      <w:szCs w:val="28"/>
      <w:lang w:eastAsia="en-US"/>
    </w:rPr>
  </w:style>
  <w:style w:type="paragraph" w:styleId="9">
    <w:name w:val="toc 3"/>
    <w:basedOn w:val="1"/>
    <w:next w:val="1"/>
    <w:qFormat/>
    <w:uiPriority w:val="0"/>
    <w:pPr>
      <w:ind w:left="840" w:leftChars="400"/>
    </w:pPr>
  </w:style>
  <w:style w:type="paragraph" w:styleId="10">
    <w:name w:val="Balloon Text"/>
    <w:basedOn w:val="1"/>
    <w:link w:val="38"/>
    <w:qFormat/>
    <w:uiPriority w:val="0"/>
    <w:pPr>
      <w:spacing w:before="0"/>
    </w:pPr>
    <w:rPr>
      <w:sz w:val="18"/>
      <w:szCs w:val="18"/>
    </w:rPr>
  </w:style>
  <w:style w:type="paragraph" w:styleId="11">
    <w:name w:val="footer"/>
    <w:basedOn w:val="1"/>
    <w:unhideWhenUsed/>
    <w:qFormat/>
    <w:uiPriority w:val="99"/>
    <w:pPr>
      <w:tabs>
        <w:tab w:val="center" w:pos="4153"/>
        <w:tab w:val="right" w:pos="8306"/>
      </w:tabs>
      <w:wordWrap w:val="0"/>
      <w:autoSpaceDE w:val="0"/>
      <w:autoSpaceDN w:val="0"/>
      <w:jc w:val="right"/>
    </w:pPr>
    <w:rPr>
      <w:sz w:val="18"/>
      <w:szCs w:val="18"/>
    </w:rPr>
  </w:style>
  <w:style w:type="paragraph" w:styleId="12">
    <w:name w:val="header"/>
    <w:basedOn w:val="1"/>
    <w:unhideWhenUsed/>
    <w:qFormat/>
    <w:uiPriority w:val="99"/>
    <w:pPr>
      <w:pBdr>
        <w:bottom w:val="single" w:color="auto" w:sz="6" w:space="1"/>
      </w:pBdr>
      <w:tabs>
        <w:tab w:val="center" w:pos="4153"/>
        <w:tab w:val="right" w:pos="8306"/>
      </w:tabs>
      <w:wordWrap w:val="0"/>
      <w:autoSpaceDE w:val="0"/>
      <w:autoSpaceDN w:val="0"/>
      <w:jc w:val="center"/>
    </w:pPr>
    <w:rPr>
      <w:sz w:val="18"/>
      <w:szCs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99"/>
    <w:pPr>
      <w:spacing w:before="0" w:beforeAutospacing="1" w:afterAutospacing="1"/>
      <w:jc w:val="left"/>
    </w:pPr>
    <w:rPr>
      <w:rFonts w:cs="Times New Roman"/>
      <w:kern w:val="0"/>
      <w:sz w:val="24"/>
    </w:rPr>
  </w:style>
  <w:style w:type="paragraph" w:styleId="16">
    <w:name w:val="annotation subject"/>
    <w:basedOn w:val="7"/>
    <w:next w:val="7"/>
    <w:link w:val="40"/>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rPr>
  </w:style>
  <w:style w:type="character" w:styleId="21">
    <w:name w:val="Hyperlink"/>
    <w:basedOn w:val="19"/>
    <w:qFormat/>
    <w:uiPriority w:val="0"/>
    <w:rPr>
      <w:color w:val="0000FF"/>
      <w:u w:val="single"/>
    </w:rPr>
  </w:style>
  <w:style w:type="character" w:styleId="22">
    <w:name w:val="annotation reference"/>
    <w:basedOn w:val="19"/>
    <w:qFormat/>
    <w:uiPriority w:val="0"/>
    <w:rPr>
      <w:sz w:val="21"/>
      <w:szCs w:val="21"/>
    </w:rPr>
  </w:style>
  <w:style w:type="character" w:customStyle="1" w:styleId="23">
    <w:name w:val="标题 4 字符"/>
    <w:basedOn w:val="19"/>
    <w:link w:val="5"/>
    <w:semiHidden/>
    <w:qFormat/>
    <w:uiPriority w:val="0"/>
    <w:rPr>
      <w:rFonts w:asciiTheme="majorHAnsi" w:hAnsiTheme="majorHAnsi" w:eastAsiaTheme="majorEastAsia" w:cstheme="majorBidi"/>
      <w:b/>
      <w:bCs/>
      <w:kern w:val="2"/>
      <w:sz w:val="28"/>
      <w:szCs w:val="28"/>
    </w:rPr>
  </w:style>
  <w:style w:type="character" w:customStyle="1" w:styleId="24">
    <w:name w:val="标题 3 字符"/>
    <w:basedOn w:val="19"/>
    <w:link w:val="4"/>
    <w:qFormat/>
    <w:uiPriority w:val="9"/>
    <w:rPr>
      <w:rFonts w:eastAsia="微软雅黑"/>
      <w:b/>
      <w:bCs/>
      <w:sz w:val="24"/>
      <w:szCs w:val="27"/>
    </w:rPr>
  </w:style>
  <w:style w:type="paragraph" w:customStyle="1" w:styleId="25">
    <w:name w:val="一级首章标题"/>
    <w:link w:val="46"/>
    <w:qFormat/>
    <w:uiPriority w:val="0"/>
    <w:pPr>
      <w:numPr>
        <w:ilvl w:val="0"/>
        <w:numId w:val="1"/>
      </w:numPr>
      <w:wordWrap w:val="0"/>
      <w:autoSpaceDE w:val="0"/>
      <w:autoSpaceDN w:val="0"/>
      <w:snapToGrid w:val="0"/>
      <w:spacing w:after="100" w:afterLines="100"/>
      <w:jc w:val="both"/>
      <w:outlineLvl w:val="0"/>
    </w:pPr>
    <w:rPr>
      <w:rFonts w:ascii="黑体" w:hAnsi="黑体" w:eastAsia="黑体" w:cs="Times New Roman"/>
      <w:sz w:val="21"/>
      <w:lang w:val="en-US" w:eastAsia="zh-CN" w:bidi="ar-SA"/>
    </w:rPr>
  </w:style>
  <w:style w:type="paragraph" w:customStyle="1" w:styleId="26">
    <w:name w:val="章节条款"/>
    <w:qFormat/>
    <w:uiPriority w:val="0"/>
    <w:pPr>
      <w:wordWrap w:val="0"/>
      <w:autoSpaceDE w:val="0"/>
      <w:autoSpaceDN w:val="0"/>
      <w:snapToGrid w:val="0"/>
      <w:spacing w:before="50" w:beforeLines="50" w:after="50" w:afterLines="50"/>
      <w:jc w:val="both"/>
    </w:pPr>
    <w:rPr>
      <w:rFonts w:ascii="黑体" w:hAnsi="黑体" w:eastAsia="黑体" w:cs="Times New Roman"/>
      <w:sz w:val="21"/>
      <w:lang w:val="en-US" w:eastAsia="zh-CN" w:bidi="ar-SA"/>
    </w:rPr>
  </w:style>
  <w:style w:type="paragraph" w:customStyle="1" w:styleId="27">
    <w:name w:val="目次标题"/>
    <w:qFormat/>
    <w:uiPriority w:val="0"/>
    <w:pPr>
      <w:keepNext/>
      <w:pageBreakBefore/>
      <w:shd w:val="clear" w:color="FFFFFF" w:fill="FFFFFF"/>
      <w:spacing w:before="640" w:after="560" w:line="460" w:lineRule="exact"/>
      <w:jc w:val="center"/>
      <w:outlineLvl w:val="3"/>
    </w:pPr>
    <w:rPr>
      <w:rFonts w:ascii="黑体" w:hAnsi="Times New Roman" w:eastAsia="黑体" w:cs="Times New Roman"/>
      <w:sz w:val="32"/>
      <w:szCs w:val="32"/>
      <w:lang w:val="en-US" w:eastAsia="zh-CN" w:bidi="ar-SA"/>
    </w:rPr>
  </w:style>
  <w:style w:type="paragraph" w:customStyle="1" w:styleId="28">
    <w:name w:val="目次第1级"/>
    <w:next w:val="2"/>
    <w:qFormat/>
    <w:uiPriority w:val="39"/>
    <w:pPr>
      <w:tabs>
        <w:tab w:val="right" w:leader="dot" w:pos="9241"/>
      </w:tabs>
      <w:wordWrap w:val="0"/>
      <w:spacing w:before="25" w:beforeLines="25" w:after="25" w:afterLines="25"/>
    </w:pPr>
    <w:rPr>
      <w:rFonts w:ascii="宋体" w:hAnsi="宋体" w:eastAsia="宋体" w:cs="宋体"/>
      <w:sz w:val="21"/>
      <w:szCs w:val="21"/>
      <w:lang w:val="en-US" w:eastAsia="zh-CN" w:bidi="ar-SA"/>
    </w:rPr>
  </w:style>
  <w:style w:type="paragraph" w:customStyle="1" w:styleId="29">
    <w:name w:val="目次第2级"/>
    <w:qFormat/>
    <w:uiPriority w:val="39"/>
    <w:pPr>
      <w:tabs>
        <w:tab w:val="right" w:leader="dot" w:pos="9241"/>
      </w:tabs>
      <w:wordWrap w:val="0"/>
      <w:ind w:firstLine="100" w:firstLineChars="100"/>
    </w:pPr>
    <w:rPr>
      <w:rFonts w:ascii="宋体" w:hAnsi="宋体" w:eastAsia="宋体" w:cs="宋体"/>
      <w:sz w:val="21"/>
      <w:szCs w:val="21"/>
      <w:lang w:val="en-US" w:eastAsia="zh-CN" w:bidi="ar-SA"/>
    </w:rPr>
  </w:style>
  <w:style w:type="paragraph" w:customStyle="1" w:styleId="30">
    <w:name w:val="章节页面标题"/>
    <w:qFormat/>
    <w:uiPriority w:val="0"/>
    <w:pPr>
      <w:wordWrap w:val="0"/>
      <w:autoSpaceDE w:val="0"/>
      <w:autoSpaceDN w:val="0"/>
      <w:spacing w:before="640" w:after="560" w:line="460" w:lineRule="exact"/>
      <w:jc w:val="center"/>
      <w:outlineLvl w:val="0"/>
    </w:pPr>
    <w:rPr>
      <w:rFonts w:ascii="黑体" w:hAnsi="Times New Roman" w:eastAsia="黑体" w:cs="Times New Roman"/>
      <w:sz w:val="32"/>
      <w:szCs w:val="32"/>
      <w:lang w:val="en-US" w:eastAsia="zh-CN" w:bidi="ar-SA"/>
    </w:rPr>
  </w:style>
  <w:style w:type="paragraph" w:customStyle="1" w:styleId="31">
    <w:name w:val="段落"/>
    <w:qFormat/>
    <w:uiPriority w:val="0"/>
    <w:pPr>
      <w:autoSpaceDE w:val="0"/>
      <w:autoSpaceDN w:val="0"/>
      <w:ind w:firstLine="420" w:firstLineChars="200"/>
    </w:pPr>
    <w:rPr>
      <w:rFonts w:ascii="宋体" w:hAnsi="Times New Roman" w:eastAsia="宋体" w:cs="Times New Roman"/>
      <w:sz w:val="21"/>
      <w:lang w:val="en-US" w:eastAsia="zh-CN" w:bidi="ar-SA"/>
    </w:rPr>
  </w:style>
  <w:style w:type="character" w:customStyle="1" w:styleId="32">
    <w:name w:val="font11"/>
    <w:basedOn w:val="19"/>
    <w:qFormat/>
    <w:uiPriority w:val="0"/>
    <w:rPr>
      <w:rFonts w:hint="eastAsia" w:ascii="宋体" w:hAnsi="宋体" w:eastAsia="宋体" w:cs="宋体"/>
      <w:color w:val="000000"/>
      <w:sz w:val="22"/>
      <w:szCs w:val="22"/>
      <w:u w:val="none"/>
    </w:rPr>
  </w:style>
  <w:style w:type="character" w:customStyle="1" w:styleId="33">
    <w:name w:val="font41"/>
    <w:basedOn w:val="19"/>
    <w:qFormat/>
    <w:uiPriority w:val="0"/>
    <w:rPr>
      <w:rFonts w:hint="default" w:ascii="Calibri" w:hAnsi="Calibri" w:cs="Calibri"/>
      <w:color w:val="000000"/>
      <w:sz w:val="12"/>
      <w:szCs w:val="12"/>
      <w:u w:val="none"/>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customStyle="1" w:styleId="35">
    <w:name w:val="Table Text"/>
    <w:basedOn w:val="1"/>
    <w:semiHidden/>
    <w:qFormat/>
    <w:uiPriority w:val="0"/>
    <w:rPr>
      <w:rFonts w:ascii="Arial" w:hAnsi="Arial" w:eastAsia="Arial" w:cs="Arial"/>
      <w:szCs w:val="21"/>
      <w:lang w:eastAsia="en-US"/>
    </w:rPr>
  </w:style>
  <w:style w:type="character" w:customStyle="1" w:styleId="36">
    <w:name w:val="font31"/>
    <w:basedOn w:val="19"/>
    <w:qFormat/>
    <w:uiPriority w:val="0"/>
    <w:rPr>
      <w:rFonts w:hint="eastAsia" w:ascii="宋体" w:hAnsi="宋体" w:eastAsia="宋体" w:cs="宋体"/>
      <w:color w:val="000000"/>
      <w:sz w:val="18"/>
      <w:szCs w:val="18"/>
      <w:u w:val="none"/>
    </w:rPr>
  </w:style>
  <w:style w:type="character" w:customStyle="1" w:styleId="37">
    <w:name w:val="font21"/>
    <w:basedOn w:val="19"/>
    <w:qFormat/>
    <w:uiPriority w:val="0"/>
    <w:rPr>
      <w:rFonts w:ascii="宋体" w:hAnsi="宋体" w:eastAsia="宋体" w:cs="宋体"/>
      <w:color w:val="000000"/>
      <w:sz w:val="40"/>
      <w:szCs w:val="40"/>
      <w:u w:val="none"/>
    </w:rPr>
  </w:style>
  <w:style w:type="character" w:customStyle="1" w:styleId="38">
    <w:name w:val="批注框文本 字符"/>
    <w:basedOn w:val="19"/>
    <w:link w:val="10"/>
    <w:qFormat/>
    <w:uiPriority w:val="0"/>
    <w:rPr>
      <w:rFonts w:ascii="宋体" w:hAnsi="宋体" w:cstheme="minorBidi"/>
      <w:kern w:val="2"/>
      <w:sz w:val="18"/>
      <w:szCs w:val="18"/>
    </w:rPr>
  </w:style>
  <w:style w:type="character" w:customStyle="1" w:styleId="39">
    <w:name w:val="批注文字 字符"/>
    <w:basedOn w:val="19"/>
    <w:link w:val="7"/>
    <w:qFormat/>
    <w:uiPriority w:val="0"/>
    <w:rPr>
      <w:rFonts w:ascii="宋体" w:hAnsi="宋体" w:cstheme="minorBidi"/>
      <w:kern w:val="2"/>
      <w:sz w:val="21"/>
      <w:szCs w:val="24"/>
    </w:rPr>
  </w:style>
  <w:style w:type="character" w:customStyle="1" w:styleId="40">
    <w:name w:val="批注主题 字符"/>
    <w:basedOn w:val="39"/>
    <w:link w:val="16"/>
    <w:qFormat/>
    <w:uiPriority w:val="0"/>
    <w:rPr>
      <w:rFonts w:ascii="宋体" w:hAnsi="宋体" w:cstheme="minorBidi"/>
      <w:b/>
      <w:bCs/>
      <w:kern w:val="2"/>
      <w:sz w:val="21"/>
      <w:szCs w:val="24"/>
    </w:rPr>
  </w:style>
  <w:style w:type="character" w:styleId="41">
    <w:name w:val="Placeholder Text"/>
    <w:basedOn w:val="19"/>
    <w:semiHidden/>
    <w:qFormat/>
    <w:uiPriority w:val="99"/>
    <w:rPr>
      <w:color w:val="808080"/>
    </w:rPr>
  </w:style>
  <w:style w:type="character" w:customStyle="1" w:styleId="42">
    <w:name w:val="mord"/>
    <w:basedOn w:val="19"/>
    <w:qFormat/>
    <w:uiPriority w:val="0"/>
  </w:style>
  <w:style w:type="character" w:customStyle="1" w:styleId="43">
    <w:name w:val="vlist-s"/>
    <w:basedOn w:val="19"/>
    <w:qFormat/>
    <w:uiPriority w:val="0"/>
  </w:style>
  <w:style w:type="character" w:customStyle="1" w:styleId="44">
    <w:name w:val="mrel"/>
    <w:basedOn w:val="19"/>
    <w:qFormat/>
    <w:uiPriority w:val="0"/>
  </w:style>
  <w:style w:type="character" w:customStyle="1" w:styleId="45">
    <w:name w:val="mbin"/>
    <w:basedOn w:val="19"/>
    <w:qFormat/>
    <w:uiPriority w:val="0"/>
  </w:style>
  <w:style w:type="character" w:customStyle="1" w:styleId="46">
    <w:name w:val="一级首章标题 Char"/>
    <w:link w:val="25"/>
    <w:qFormat/>
    <w:uiPriority w:val="0"/>
    <w:rPr>
      <w:rFonts w:ascii="黑体" w:hAnsi="黑体" w:eastAsia="黑体" w:cs="Times New Roman"/>
      <w:sz w:val="21"/>
      <w:lang w:val="en-US" w:eastAsia="zh-CN" w:bidi="ar-SA"/>
    </w:rPr>
  </w:style>
  <w:style w:type="character" w:customStyle="1" w:styleId="47">
    <w:name w:val="标题 1 字符"/>
    <w:link w:val="2"/>
    <w:qFormat/>
    <w:uiPriority w:val="0"/>
    <w:rPr>
      <w:b/>
      <w:kern w:val="44"/>
      <w:sz w:val="44"/>
    </w:rPr>
  </w:style>
  <w:style w:type="paragraph" w:customStyle="1" w:styleId="48">
    <w:name w:val="修订1"/>
    <w:hidden/>
    <w:unhideWhenUsed/>
    <w:qFormat/>
    <w:uiPriority w:val="99"/>
    <w:rPr>
      <w:rFonts w:ascii="宋体" w:hAnsi="宋体" w:eastAsia="宋体" w:cstheme="minorBidi"/>
      <w:kern w:val="2"/>
      <w:sz w:val="21"/>
      <w:szCs w:val="24"/>
      <w:lang w:val="en-US" w:eastAsia="zh-CN" w:bidi="ar-SA"/>
    </w:rPr>
  </w:style>
  <w:style w:type="paragraph" w:customStyle="1" w:styleId="49">
    <w:name w:val="目次、标准名称标题"/>
    <w:basedOn w:val="1"/>
    <w:next w:val="50"/>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0">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51">
    <w:name w:val="附录标识"/>
    <w:basedOn w:val="1"/>
    <w:next w:val="50"/>
    <w:qFormat/>
    <w:uiPriority w:val="0"/>
    <w:pPr>
      <w:keepNext/>
      <w:widowControl/>
      <w:numPr>
        <w:ilvl w:val="0"/>
        <w:numId w:val="2"/>
      </w:numPr>
      <w:shd w:val="clear" w:color="FFFFFF" w:fill="FFFFFF"/>
      <w:spacing w:before="640" w:after="280"/>
      <w:ind w:firstLineChars="0"/>
      <w:jc w:val="center"/>
      <w:outlineLvl w:val="0"/>
    </w:pPr>
    <w:rPr>
      <w:rFonts w:ascii="黑体" w:eastAsia="黑体"/>
      <w:kern w:val="0"/>
      <w:szCs w:val="20"/>
    </w:rPr>
  </w:style>
  <w:style w:type="paragraph" w:customStyle="1" w:styleId="52">
    <w:name w:val="修订2"/>
    <w:hidden/>
    <w:unhideWhenUsed/>
    <w:qFormat/>
    <w:uiPriority w:val="99"/>
    <w:rPr>
      <w:rFonts w:ascii="宋体" w:hAnsi="宋体" w:eastAsia="宋体" w:cstheme="minorBidi"/>
      <w:kern w:val="2"/>
      <w:sz w:val="21"/>
      <w:szCs w:val="24"/>
      <w:lang w:val="en-US" w:eastAsia="zh-CN" w:bidi="ar-SA"/>
    </w:rPr>
  </w:style>
  <w:style w:type="paragraph" w:customStyle="1" w:styleId="53">
    <w:name w:val="修订3"/>
    <w:hidden/>
    <w:unhideWhenUsed/>
    <w:qFormat/>
    <w:uiPriority w:val="99"/>
    <w:rPr>
      <w:rFonts w:ascii="宋体" w:hAnsi="宋体" w:eastAsia="宋体" w:cstheme="minorBidi"/>
      <w:kern w:val="2"/>
      <w:sz w:val="21"/>
      <w:szCs w:val="24"/>
      <w:lang w:val="en-US" w:eastAsia="zh-CN" w:bidi="ar-SA"/>
    </w:rPr>
  </w:style>
  <w:style w:type="paragraph" w:customStyle="1" w:styleId="54">
    <w:name w:val="正文表标题"/>
    <w:next w:val="50"/>
    <w:qFormat/>
    <w:uiPriority w:val="0"/>
    <w:pPr>
      <w:numPr>
        <w:ilvl w:val="0"/>
        <w:numId w:val="3"/>
      </w:numPr>
      <w:spacing w:before="156" w:beforeLines="50" w:after="156" w:afterLines="50"/>
      <w:jc w:val="center"/>
    </w:pPr>
    <w:rPr>
      <w:rFonts w:ascii="黑体" w:hAnsi="Times New Roman" w:eastAsia="黑体" w:cs="Times New Roman"/>
      <w:sz w:val="21"/>
      <w:lang w:val="en-US" w:eastAsia="zh-CN" w:bidi="ar-SA"/>
    </w:rPr>
  </w:style>
  <w:style w:type="paragraph" w:customStyle="1" w:styleId="55">
    <w:name w:val="参考文献"/>
    <w:basedOn w:val="1"/>
    <w:next w:val="50"/>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56">
    <w:name w:val="章标题"/>
    <w:basedOn w:val="1"/>
    <w:next w:val="50"/>
    <w:qFormat/>
    <w:uiPriority w:val="0"/>
    <w:pPr>
      <w:numPr>
        <w:ilvl w:val="0"/>
        <w:numId w:val="4"/>
      </w:numPr>
      <w:ind w:firstLineChars="0"/>
    </w:pPr>
    <w:rPr>
      <w:rFonts w:ascii="黑体" w:eastAsia="黑体"/>
    </w:rPr>
  </w:style>
  <w:style w:type="paragraph" w:customStyle="1" w:styleId="57">
    <w:name w:val="一级条标题"/>
    <w:basedOn w:val="1"/>
    <w:qFormat/>
    <w:uiPriority w:val="0"/>
    <w:pPr>
      <w:numPr>
        <w:ilvl w:val="1"/>
        <w:numId w:val="4"/>
      </w:numPr>
      <w:ind w:firstLineChars="0"/>
    </w:pPr>
  </w:style>
  <w:style w:type="paragraph" w:customStyle="1" w:styleId="58">
    <w:name w:val="二级条标题"/>
    <w:basedOn w:val="1"/>
    <w:qFormat/>
    <w:uiPriority w:val="0"/>
    <w:pPr>
      <w:numPr>
        <w:ilvl w:val="2"/>
        <w:numId w:val="4"/>
      </w:numPr>
      <w:ind w:firstLineChars="0"/>
    </w:pPr>
  </w:style>
  <w:style w:type="paragraph" w:customStyle="1" w:styleId="59">
    <w:name w:val="三级条标题"/>
    <w:basedOn w:val="1"/>
    <w:qFormat/>
    <w:uiPriority w:val="0"/>
    <w:pPr>
      <w:numPr>
        <w:ilvl w:val="3"/>
        <w:numId w:val="4"/>
      </w:numPr>
      <w:ind w:firstLineChars="0"/>
    </w:pPr>
  </w:style>
  <w:style w:type="paragraph" w:customStyle="1" w:styleId="60">
    <w:name w:val="四级条标题"/>
    <w:basedOn w:val="1"/>
    <w:qFormat/>
    <w:uiPriority w:val="0"/>
    <w:pPr>
      <w:numPr>
        <w:ilvl w:val="4"/>
        <w:numId w:val="4"/>
      </w:numPr>
      <w:ind w:firstLineChars="0"/>
    </w:pPr>
  </w:style>
  <w:style w:type="paragraph" w:customStyle="1" w:styleId="61">
    <w:name w:val="五级条标题"/>
    <w:basedOn w:val="1"/>
    <w:qFormat/>
    <w:uiPriority w:val="0"/>
    <w:pPr>
      <w:numPr>
        <w:ilvl w:val="5"/>
        <w:numId w:val="4"/>
      </w:numPr>
      <w:ind w:firstLineChars="0"/>
    </w:pPr>
  </w:style>
  <w:style w:type="paragraph" w:customStyle="1" w:styleId="62">
    <w:name w:val="正文图标题"/>
    <w:basedOn w:val="1"/>
    <w:qFormat/>
    <w:uiPriority w:val="0"/>
    <w:pPr>
      <w:numPr>
        <w:ilvl w:val="0"/>
        <w:numId w:val="5"/>
      </w:numPr>
      <w:ind w:firstLineChars="0"/>
    </w:pPr>
  </w:style>
  <w:style w:type="paragraph" w:customStyle="1" w:styleId="63">
    <w:name w:val="附录章标题"/>
    <w:basedOn w:val="1"/>
    <w:qFormat/>
    <w:uiPriority w:val="0"/>
    <w:pPr>
      <w:numPr>
        <w:ilvl w:val="1"/>
        <w:numId w:val="2"/>
      </w:numPr>
      <w:ind w:firstLineChars="0"/>
    </w:pPr>
  </w:style>
  <w:style w:type="paragraph" w:customStyle="1" w:styleId="64">
    <w:name w:val="附录一级条标题"/>
    <w:basedOn w:val="1"/>
    <w:qFormat/>
    <w:uiPriority w:val="0"/>
    <w:pPr>
      <w:numPr>
        <w:ilvl w:val="2"/>
        <w:numId w:val="2"/>
      </w:numPr>
      <w:ind w:firstLineChars="0"/>
    </w:pPr>
  </w:style>
  <w:style w:type="paragraph" w:customStyle="1" w:styleId="65">
    <w:name w:val="附录二级条标题"/>
    <w:basedOn w:val="1"/>
    <w:qFormat/>
    <w:uiPriority w:val="0"/>
    <w:pPr>
      <w:numPr>
        <w:ilvl w:val="3"/>
        <w:numId w:val="2"/>
      </w:numPr>
      <w:ind w:firstLineChars="0"/>
    </w:pPr>
  </w:style>
  <w:style w:type="paragraph" w:customStyle="1" w:styleId="66">
    <w:name w:val="附录三级条标题"/>
    <w:basedOn w:val="1"/>
    <w:qFormat/>
    <w:uiPriority w:val="0"/>
    <w:pPr>
      <w:numPr>
        <w:ilvl w:val="4"/>
        <w:numId w:val="2"/>
      </w:numPr>
      <w:ind w:firstLineChars="0"/>
    </w:pPr>
  </w:style>
  <w:style w:type="paragraph" w:customStyle="1" w:styleId="67">
    <w:name w:val="附录四级条标题"/>
    <w:basedOn w:val="1"/>
    <w:qFormat/>
    <w:uiPriority w:val="0"/>
    <w:pPr>
      <w:numPr>
        <w:ilvl w:val="5"/>
        <w:numId w:val="2"/>
      </w:numPr>
      <w:ind w:firstLineChars="0"/>
    </w:pPr>
  </w:style>
  <w:style w:type="paragraph" w:customStyle="1" w:styleId="68">
    <w:name w:val="附录五级条标题"/>
    <w:basedOn w:val="1"/>
    <w:qFormat/>
    <w:uiPriority w:val="0"/>
    <w:pPr>
      <w:numPr>
        <w:ilvl w:val="6"/>
        <w:numId w:val="2"/>
      </w:numPr>
      <w:ind w:firstLineChars="0"/>
    </w:pPr>
  </w:style>
  <w:style w:type="paragraph" w:customStyle="1" w:styleId="69">
    <w:name w:val="注×："/>
    <w:basedOn w:val="1"/>
    <w:qFormat/>
    <w:uiPriority w:val="0"/>
    <w:pPr>
      <w:numPr>
        <w:ilvl w:val="0"/>
        <w:numId w:val="6"/>
      </w:numPr>
      <w:ind w:firstLineChars="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c5b19543-ca3c-4756-a866-d2d30de65696</errorID>
      <errorWord>本</errorWord>
      <group>L1_Punc</group>
      <groupName>标点问题</groupName>
      <ability>L2_Punc_CN</ability>
      <abilityName>标点符号问题</abilityName>
      <candidateList>
        <item>，本</item>
      </candidateList>
      <explain/>
      <paraID>68A4F8B6</paraID>
      <start>3</start>
      <end>4</end>
      <status>ignored</status>
      <modifiedWord/>
      <trackRevisions>false</trackRevisions>
    </reviewItem>
    <reviewItem>
      <errorID>2ac8ff0c-409f-46a6-b18b-9b4463bb38d3</errorID>
      <errorWord>DB/T 2253</errorWord>
      <group>L1_Other</group>
      <groupName>其他问题</groupName>
      <ability>L2_Consistency</ability>
      <abilityName>一致性检查</abilityName>
      <candidateList>
        <item>DB11/T 2253</item>
      </candidateList>
      <explain>数字一致性错误，前文规范性引用文件中该标准编号为DB11/T 2253，此处引用编号缺失数字11，不一致</explain>
      <paraID>7134027C</paraID>
      <start>4</start>
      <end>13</end>
      <status>unmodified</status>
      <modifiedWord/>
      <trackRevisions>false</trackRevisions>
    </reviewItem>
    <reviewItem>
      <errorID>43e8a8b1-e5b0-451a-b075-4c76cf2092d5</errorID>
      <errorWord>该制定</errorWord>
      <group>L1_Grammar</group>
      <groupName>语法问题</groupName>
      <ability>L2_Grammar</ability>
      <abilityName>语法错误</abilityName>
      <candidateList>
        <item>该</item>
      </candidateList>
      <explain/>
      <paraID>320D2934</paraID>
      <start>57</start>
      <end>60</end>
      <status>unmodified</status>
      <modifiedWord/>
      <trackRevisions>false</trackRevisions>
    </reviewItem>
    <reviewItem>
      <errorID>5370f148-b963-4236-b99f-5cb153a9376b</errorID>
      <errorWord>效果实际成果</errorWord>
      <group>L1_Grammar</group>
      <groupName>语法问题</groupName>
      <ability>L2_Grammar</ability>
      <abilityName>语法错误</abilityName>
      <candidateList>
        <item>效果</item>
      </candidateList>
      <explain/>
      <paraID> BF9BC2B</paraID>
      <start>50</start>
      <end>56</end>
      <status>unmodified</status>
      <modifiedWord/>
      <trackRevisions>false</trackRevisions>
    </reviewItem>
    <reviewItem>
      <errorID>5c34b342-03aa-4c78-9761-53d2975a4a59</errorID>
      <errorWord>反映评估</errorWord>
      <group>L1_Grammar</group>
      <groupName>语法问题</groupName>
      <ability>L2_Grammar</ability>
      <abilityName>语法错误</abilityName>
      <candidateList>
        <item>反映</item>
      </candidateList>
      <explain/>
      <paraID>5D3B66FD</paraID>
      <start>106</start>
      <end>110</end>
      <status>unmodified</status>
      <modifiedWord/>
      <trackRevisions>false</trackRevisions>
    </reviewItem>
    <reviewItem>
      <errorID>bcb1d965-51b5-498e-a09e-0fb8c4c1d1ef</errorID>
      <errorWord>综合</errorWord>
      <group>L1_Word</group>
      <groupName>字词问题</groupName>
      <ability>L2_Typo</ability>
      <abilityName>字词错误</abilityName>
      <candidateList>
        <item>的综合</item>
      </candidateList>
      <explain/>
      <paraID>5D3B66FD</paraID>
      <start>115</start>
      <end>117</end>
      <status>unmodified</status>
      <modifiedWord/>
      <trackRevisions>false</trackRevisions>
    </reviewItem>
    <reviewItem>
      <errorID>d6bde6d0-4a7d-4dc2-85e2-beec47d182e0</errorID>
      <errorWord>确定</errorWord>
      <group>L1_Word</group>
      <groupName>字词问题</groupName>
      <ability>L2_Typo</ability>
      <abilityName>字词错误</abilityName>
      <candidateList>
        <item>使</item>
      </candidateList>
      <explain/>
      <paraID>281F22E6</paraID>
      <start>71</start>
      <end>73</end>
      <status>unmodified</status>
      <modifiedWord/>
      <trackRevisions>false</trackRevisions>
    </reviewItem>
    <reviewItem>
      <errorID>18c72f11-5db0-419d-aa01-73faee23bf51</errorID>
      <errorWord>2-3年</errorWord>
      <group>L1_Word</group>
      <groupName>字词问题</groupName>
      <ability>L2_Typo</ability>
      <abilityName>字词错误</abilityName>
      <candidateList>
        <item>2～3年</item>
      </candidateList>
      <explain/>
      <paraID>2FBA5829</paraID>
      <start>126</start>
      <end>135</end>
      <status>modified</status>
      <modifiedWord>2～3年2-53年</modifiedWord>
      <trackRevisions>true</trackRevisions>
    </reviewItem>
    <reviewItem>
      <errorID>92314863-beda-416c-b001-b6c004d07875</errorID>
      <errorWord>影响</errorWord>
      <group>L1_Word</group>
      <groupName>字词问题</groupName>
      <ability>L2_Typo</ability>
      <abilityName>字词错误</abilityName>
      <candidateList>
        <item>覆盖</item>
      </candidateList>
      <explain/>
      <paraID>66B9E8BD</paraID>
      <start>29</start>
      <end>31</end>
      <status>unmodified</status>
      <modifiedWord/>
      <trackRevisions>false</trackRevisions>
    </reviewItem>
    <reviewItem>
      <errorID>068ae86f-59c0-426c-9f14-2ecba689f52c</errorID>
      <errorWord>指标</errorWord>
      <group>L1_Punc</group>
      <groupName>标点问题</groupName>
      <ability>L2_Punc_CN</ability>
      <abilityName>标点符号问题</abilityName>
      <candidateList>
        <item>指标。</item>
      </candidateList>
      <explain/>
      <paraID> 29D958E</paraID>
      <start>82</start>
      <end>84</end>
      <status>unmodified</status>
      <modifiedWord/>
      <trackRevisions>false</trackRevisions>
    </reviewItem>
    <reviewItem>
      <errorID>1caed174-5557-4e5c-8d1c-a14f43c25bed</errorID>
      <errorWord>权重的确定</errorWord>
      <group>L1_Grammar</group>
      <groupName>语法问题</groupName>
      <ability>L2_Grammar</ability>
      <abilityName>语法错误</abilityName>
      <candidateList>
        <item>权重</item>
      </candidateList>
      <explain/>
      <paraID>10F73F8C</paraID>
      <start>6</start>
      <end>11</end>
      <status>unmodified</status>
      <modifiedWord/>
      <trackRevisions>false</trackRevisions>
    </reviewItem>
    <reviewItem>
      <errorID>59bc6586-3020-477f-8866-8b125bd9b2d2</errorID>
      <errorWord>） i</errorWord>
      <group>L1_Grammar</group>
      <groupName>语法问题</groupName>
      <ability>L2_Grammar</ability>
      <abilityName>语法错误</abilityName>
      <candidateList>
        <item>）</item>
      </candidateList>
      <explain/>
      <paraID>20105FE3</paraID>
      <start>45</start>
      <end>48</end>
      <status>unmodified</status>
      <modifiedWord/>
      <trackRevisions>false</trackRevisions>
    </reviewItem>
    <reviewItem>
      <errorID>5fa6eb32-8f05-4a8e-9cb2-683080e8a3b2</errorID>
      <errorWord>对比</errorWord>
      <group>L1_Word</group>
      <groupName>字词问题</groupName>
      <ability>L2_Typo</ability>
      <abilityName>字词错误</abilityName>
      <candidateList>
        <item>的对比</item>
      </candidateList>
      <explain/>
      <paraID>7A2754EB</paraID>
      <start>107</start>
      <end>110</end>
      <status>modified</status>
      <modifiedWord>的对比</modifiedWord>
      <trackRevisions>true</trackRevisions>
    </reviewItem>
    <reviewItem>
      <errorID>4cc3bdd0-aca3-42d3-a425-5d0c28800fc9</errorID>
      <errorWord>三维</errorWord>
      <group>L1_Grammar</group>
      <groupName>语法问题</groupName>
      <ability>L2_Grammar</ability>
      <abilityName>语法错误</abilityName>
      <candidateList>
        <item>，进行三维</item>
      </candidateList>
      <explain/>
      <paraID>633ABA4A</paraID>
      <start>23</start>
      <end>25</end>
      <status>unmodified</status>
      <modifiedWord/>
      <trackRevisions>false</trackRevisions>
    </reviewItem>
    <reviewItem>
      <errorID>4a1c52dc-e0b6-46af-a43a-cfbf23836164</errorID>
      <errorWord>)</errorWord>
      <group>L1_Punc</group>
      <groupName>标点问题</groupName>
      <ability>L2_Punc_CN</ability>
      <abilityName>标点符号问题</abilityName>
      <candidateList/>
      <explain>同一形式括号套用。</explain>
      <paraID>178FEDA6</paraID>
      <start>38</start>
      <end>39</end>
      <status>unmodified</status>
      <modifiedWord/>
      <trackRevisions>false</trackRevisions>
    </reviewItem>
    <reviewItem>
      <errorID>a48bc6ee-61e9-428f-a4d0-73edae197fc8</errorID>
      <errorWord>：</errorWord>
      <group>L1_Punc</group>
      <groupName>标点问题</groupName>
      <ability>L2_Punc_CN</ability>
      <abilityName>标点符号问题</abilityName>
      <candidateList/>
      <explain/>
      <paraID>5FE7CC39</paraID>
      <start>13</start>
      <end>14</end>
      <status>ignored</status>
      <modifiedWord/>
      <trackRevisions>false</trackRevisions>
    </reviewItem>
    <reviewItem>
      <errorID>faad8eb9-ccfa-46c8-87d4-cf2f91bb13cb</errorID>
      <errorWord>：</errorWord>
      <group>L1_Punc</group>
      <groupName>标点问题</groupName>
      <ability>L2_Punc_CN</ability>
      <abilityName>标点符号问题</abilityName>
      <candidateList/>
      <explain/>
      <paraID>6CFD94B4</paraID>
      <start>13</start>
      <end>14</end>
      <status>ignored</status>
      <modifiedWord/>
      <trackRevisions>false</trackRevisions>
    </reviewItem>
    <reviewItem>
      <errorID>ac055b46-1c48-4f12-9da3-a3f6b94189cf</errorID>
      <errorWord>：</errorWord>
      <group>L1_Punc</group>
      <groupName>标点问题</groupName>
      <ability>L2_Punc_CN</ability>
      <abilityName>标点符号问题</abilityName>
      <candidateList/>
      <explain/>
      <paraID>1ED0875D</paraID>
      <start>13</start>
      <end>14</end>
      <status>ignored</status>
      <modifiedWord/>
      <trackRevisions>false</trackRevisions>
    </reviewItem>
    <reviewItem>
      <errorID>74e54d14-9ff5-4a9d-b4ac-bc2d9df09ddb</errorID>
      <errorWord>：</errorWord>
      <group>L1_Punc</group>
      <groupName>标点问题</groupName>
      <ability>L2_Punc_CN</ability>
      <abilityName>标点符号问题</abilityName>
      <candidateList/>
      <explain/>
      <paraID>  1EE339</paraID>
      <start>11</start>
      <end>12</end>
      <status>ignored</status>
      <modifiedWord/>
      <trackRevisions>false</trackRevisions>
    </reviewItem>
    <reviewItem>
      <errorID>a5361a64-31a6-4c35-9747-8bbfa9369edf</errorID>
      <errorWord>；</errorWord>
      <group>L1_Punc</group>
      <groupName>标点问题</groupName>
      <ability>L2_Punc_CN</ability>
      <abilityName>标点符号问题</abilityName>
      <candidateList>
        <item>。</item>
      </candidateList>
      <explain/>
      <paraID>  1EE339</paraID>
      <start>29</start>
      <end>30</end>
      <status>unmodified</status>
      <modifiedWord/>
      <trackRevisions>false</trackRevisions>
    </reviewItem>
    <reviewItem>
      <errorID>01903017-f41e-4bbc-b51e-ce5375552c6b</errorID>
      <errorWord>：</errorWord>
      <group>L1_Punc</group>
      <groupName>标点问题</groupName>
      <ability>L2_Punc_CN</ability>
      <abilityName>标点符号问题</abilityName>
      <candidateList/>
      <explain/>
      <paraID>23C9F284</paraID>
      <start>11</start>
      <end>12</end>
      <status>ignored</status>
      <modifiedWord/>
      <trackRevisions>false</trackRevisions>
    </reviewItem>
    <reviewItem>
      <errorID>809c19e5-643a-4619-a92a-955986063d57</errorID>
      <errorWord>指</errorWord>
      <group>L1_Word</group>
      <groupName>字词问题</groupName>
      <ability>L2_Typo</ability>
      <abilityName>字词错误</abilityName>
      <candidateList>
        <item>指标</item>
      </candidateList>
      <explain/>
      <paraID>23C9F284</paraID>
      <start>19</start>
      <end>20</end>
      <status>unmodified</status>
      <modifiedWord/>
      <trackRevisions>false</trackRevisions>
    </reviewItem>
    <reviewItem>
      <errorID>32ce7d20-7d3b-4dbe-8354-07aabcd6e3d0</errorID>
      <errorWord>；</errorWord>
      <group>L1_Punc</group>
      <groupName>标点问题</groupName>
      <ability>L2_Punc_CN</ability>
      <abilityName>标点符号问题</abilityName>
      <candidateList>
        <item>。</item>
      </candidateList>
      <explain/>
      <paraID>23C9F284</paraID>
      <start>28</start>
      <end>29</end>
      <status>unmodified</status>
      <modifiedWord/>
      <trackRevisions>false</trackRevisions>
    </reviewItem>
    <reviewItem>
      <errorID>0f98ed0c-9993-453d-94fb-38b614afb86f</errorID>
      <errorWord>：</errorWord>
      <group>L1_Punc</group>
      <groupName>标点问题</groupName>
      <ability>L2_Punc_CN</ability>
      <abilityName>标点符号问题</abilityName>
      <candidateList/>
      <explain/>
      <paraID>23725F11</paraID>
      <start>13</start>
      <end>14</end>
      <status>ignored</status>
      <modifiedWord/>
      <trackRevisions>false</trackRevisions>
    </reviewItem>
    <reviewItem>
      <errorID>cfb75266-0ac1-4c87-b15f-3abbdc717c8d</errorID>
      <errorWord>：</errorWord>
      <group>L1_Punc</group>
      <groupName>标点问题</groupName>
      <ability>L2_Punc_CN</ability>
      <abilityName>标点符号问题</abilityName>
      <candidateList/>
      <explain/>
      <paraID>780DB999</paraID>
      <start>11</start>
      <end>12</end>
      <status>ignored</status>
      <modifiedWord/>
      <trackRevisions>false</trackRevisions>
    </reviewItem>
    <reviewItem>
      <errorID>0f06edf2-44d9-459e-a399-d7ee877af798</errorID>
      <errorWord>）</errorWord>
      <group>L1_Punc</group>
      <groupName>标点问题</groupName>
      <ability>L2_Punc_CN</ability>
      <abilityName>标点符号问题</abilityName>
      <candidateList>
        <item>)</item>
      </candidateList>
      <explain/>
      <paraID>2B446584</paraID>
      <start>17</start>
      <end>18</end>
      <status>modified</status>
      <modifiedWord>)</modifiedWord>
      <trackRevisions>true</trackRevisions>
    </reviewItem>
    <reviewItem>
      <errorID>baab9c9f-6429-414c-962d-48d72f096eeb</errorID>
      <errorWord>：</errorWord>
      <group>L1_Punc</group>
      <groupName>标点问题</groupName>
      <ability>L2_Punc_CN</ability>
      <abilityName>标点符号问题</abilityName>
      <candidateList/>
      <explain/>
      <paraID>5A1C2D6B</paraID>
      <start>8</start>
      <end>9</end>
      <status>ignored</status>
      <modifiedWord/>
      <trackRevisions>false</trackRevisions>
    </reviewItem>
    <reviewItem>
      <errorID>e5d79b41-db06-415c-98ce-6223313c67dc</errorID>
      <errorWord>：</errorWord>
      <group>L1_Punc</group>
      <groupName>标点问题</groupName>
      <ability>L2_Punc_CN</ability>
      <abilityName>标点符号问题</abilityName>
      <candidateList/>
      <explain/>
      <paraID>5037F779</paraID>
      <start>8</start>
      <end>9</end>
      <status>ignored</status>
      <modifiedWord/>
      <trackRevisions>false</trackRevisions>
    </reviewItem>
    <reviewItem>
      <errorID>07d36987-6aae-4ccb-ad7f-1c6d61ff411b</errorID>
      <errorWord>：</errorWord>
      <group>L1_Punc</group>
      <groupName>标点问题</groupName>
      <ability>L2_Punc_CN</ability>
      <abilityName>标点符号问题</abilityName>
      <candidateList/>
      <explain/>
      <paraID>4E5D1C63</paraID>
      <start>8</start>
      <end>9</end>
      <status>ignored</status>
      <modifiedWord/>
      <trackRevisions>false</trackRevisions>
    </reviewItem>
    <reviewItem>
      <errorID>0ac0a89d-fe91-4d99-81b2-dbd6a7069d7e</errorID>
      <errorWord>生态 效果类</errorWord>
      <group>L1_Other</group>
      <groupName>其他问题</groupName>
      <ability>L2_Consistency</ability>
      <abilityName>一致性检查</abilityName>
      <candidateList>
        <item>生态效果类</item>
      </candidateList>
      <explain>术语一致性错误，全文一级指标统一使用无空格的“生态效果类”表述，此处多余空格，表述不一致</explain>
      <paraID>5F7F68FF</paraID>
      <start>0</start>
      <end>6</end>
      <status>unmodified</status>
      <modifiedWord/>
      <trackRevisions>false</trackRevisions>
    </reviewItem>
    <reviewItem>
      <errorID>63f1ca0a-15eb-4bb1-b484-7a7530e6d63f</errorID>
      <errorWord>生态 效果类</errorWord>
      <group>L1_Other</group>
      <groupName>其他问题</groupName>
      <ability>L2_Consistency</ability>
      <abilityName>一致性检查</abilityName>
      <candidateList>
        <item>生态效果类</item>
      </candidateList>
      <explain>术语一致性错误，全文一级指标统一使用无空格的“生态效果类”表述，此处多余空格，表述不一致</explain>
      <paraID>528E4948</paraID>
      <start>0</start>
      <end>6</end>
      <status>unmodified</status>
      <modifiedWord/>
      <trackRevisions>false</trackRevisions>
    </reviewItem>
    <reviewItem>
      <errorID>9323d77e-e786-43fb-8432-8b62ef4de5e9</errorID>
      <errorWord>性的</errorWord>
      <group>L1_Word</group>
      <groupName>字词问题</groupName>
      <ability>L2_Typo</ability>
      <abilityName>字词错误</abilityName>
      <candidateList>
        <item>性</item>
      </candidateList>
      <explain/>
      <paraID>2BBDB628</paraID>
      <start>20</start>
      <end>22</end>
      <status>unmodified</status>
      <modifiedWord/>
      <trackRevisions>false</trackRevisions>
    </reviewItem>
    <reviewItem>
      <errorID>572a240a-ad8f-4d61-be30-8d1e87c85b47</errorID>
      <errorWord>&gt;</errorWord>
      <group>L1_Punc</group>
      <groupName>标点问题</groupName>
      <ability>L2_Punc_CN</ability>
      <abilityName>标点符号问题</abilityName>
      <candidateList/>
      <explain/>
      <paraID>3136A2ED</paraID>
      <start>8</start>
      <end>9</end>
      <status>unmodified</status>
      <modifiedWord/>
      <trackRevisions>false</trackRevisions>
    </reviewItem>
    <reviewItem>
      <errorID>4625727c-f712-450b-bcbb-14c6fc737718</errorID>
      <errorWord>效果情况</errorWord>
      <group>L1_Grammar</group>
      <groupName>语法问题</groupName>
      <ability>L2_Grammar</ability>
      <abilityName>语法错误</abilityName>
      <candidateList>
        <item>效果</item>
      </candidateList>
      <explain/>
      <paraID>51BDB0F1</paraID>
      <start>52</start>
      <end>56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6996a4-a474-453e-b862-3937d008d071}">
  <ds:schemaRefs/>
</ds:datastoreItem>
</file>

<file path=docProps/app.xml><?xml version="1.0" encoding="utf-8"?>
<Properties xmlns="http://schemas.openxmlformats.org/officeDocument/2006/extended-properties" xmlns:vt="http://schemas.openxmlformats.org/officeDocument/2006/docPropsVTypes">
  <Template>Normal</Template>
  <Pages>24</Pages>
  <Words>5124</Words>
  <Characters>5587</Characters>
  <Lines>123</Lines>
  <Paragraphs>34</Paragraphs>
  <TotalTime>75</TotalTime>
  <ScaleCrop>false</ScaleCrop>
  <LinksUpToDate>false</LinksUpToDate>
  <CharactersWithSpaces>5970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2025-05-26T00:29:00Z</dcterms:created>
  <dc:creator>cigem-tl</dc:creator>
  <cp:lastModifiedBy>小麻雀</cp:lastModifiedBy>
  <dcterms:modified xsi:type="dcterms:W3CDTF">2026-07-14T07:23:43Z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984E1435F34B4F93821D7264469CAF7B_13</vt:lpwstr>
  </property>
  <property fmtid="{D5CDD505-2E9C-101B-9397-08002B2CF9AE}" pid="4" name="KSOTemplateDocerSaveRecord">
    <vt:lpwstr>eyJoZGlkIjoiZDE0ZmM2NDM4ZjU1MjI3ZDY4NzZjYzUzZDA4ODRkMzUiLCJ1c2VySWQiOiIxMzg2ODk1MTI1In0=</vt:lpwstr>
  </property>
</Properties>
</file>